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0F1D5B" w:rsidR="000F1D5B" w:rsidRDefault="000F1D5B" w14:paraId="2874D356" w14:textId="49E074A8">
      <w:pPr>
        <w:contextualSpacing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>Written Brokerage Agreements and Accurate Property Information</w:t>
      </w:r>
    </w:p>
    <w:p w:rsidR="000F1D5B" w:rsidRDefault="000F1D5B" w14:paraId="5E460FC1" w14:textId="77777777">
      <w:pPr>
        <w:contextualSpacing/>
        <w:rPr>
          <w:rFonts w:ascii="Calibri" w:hAnsi="Calibri" w:cs="Calibri"/>
        </w:rPr>
      </w:pPr>
    </w:p>
    <w:p w:rsidR="000F1D5B" w:rsidRDefault="000F1D5B" w14:paraId="1CA7EF31" w14:textId="3297CE0B">
      <w:pPr>
        <w:contextualSpacing/>
        <w:rPr>
          <w:rFonts w:ascii="Calibri" w:hAnsi="Calibri" w:cs="Calibri"/>
        </w:rPr>
      </w:pPr>
      <w:r>
        <w:rPr>
          <w:rFonts w:ascii="Calibri" w:hAnsi="Calibri"/>
        </w:rPr>
        <w:t xml:space="preserve">This case examines a Virginia real estate salesperson who used an email authorization to market property but did not have a written brokerage agreement containing </w:t>
      </w:r>
      <w:proofErr w:type="gramStart"/>
      <w:r>
        <w:rPr>
          <w:rFonts w:ascii="Calibri" w:hAnsi="Calibri"/>
        </w:rPr>
        <w:t>all of</w:t>
      </w:r>
      <w:proofErr w:type="gramEnd"/>
      <w:r>
        <w:rPr>
          <w:rFonts w:ascii="Calibri" w:hAnsi="Calibri"/>
        </w:rPr>
        <w:t xml:space="preserve"> the terms required </w:t>
      </w:r>
      <w:r w:rsidR="00DD7257">
        <w:rPr>
          <w:rFonts w:ascii="Calibri" w:hAnsi="Calibri"/>
        </w:rPr>
        <w:t>in</w:t>
      </w:r>
      <w:r>
        <w:rPr>
          <w:rFonts w:ascii="Calibri" w:hAnsi="Calibri"/>
        </w:rPr>
        <w:t xml:space="preserve"> Virginia. The case also addresses the importance of accurately identifying property ownership in MLS and ensuring that contracts correctly identify the parties</w:t>
      </w:r>
      <w:r w:rsidR="00DD7257">
        <w:rPr>
          <w:rFonts w:ascii="Calibri" w:hAnsi="Calibri"/>
        </w:rPr>
        <w:t xml:space="preserve"> </w:t>
      </w:r>
      <w:r>
        <w:rPr>
          <w:rFonts w:ascii="Calibri" w:hAnsi="Calibri"/>
        </w:rPr>
        <w:t>involved in a transaction.</w:t>
      </w:r>
    </w:p>
    <w:p w:rsidR="000F1D5B" w:rsidRDefault="000F1D5B" w14:paraId="3101C477" w14:textId="77777777">
      <w:pPr>
        <w:contextualSpacing/>
        <w:rPr>
          <w:rFonts w:ascii="Calibri" w:hAnsi="Calibri" w:cs="Calibri"/>
        </w:rPr>
      </w:pPr>
    </w:p>
    <w:p w:rsidR="00DD4A95" w:rsidRDefault="00DD4A95" w14:paraId="3462F7F9" w14:textId="77777777">
      <w:pPr>
        <w:contextualSpacing/>
        <w:rPr>
          <w:rFonts w:ascii="Calibri" w:hAnsi="Calibri" w:cs="Calibri"/>
        </w:rPr>
      </w:pPr>
    </w:p>
    <w:p w:rsidRPr="00DD4A95" w:rsidR="00DD4A95" w:rsidRDefault="00DD4A95" w14:paraId="66778A7E" w14:textId="3701C477">
      <w:pPr>
        <w:contextualSpacing/>
        <w:rPr>
          <w:rFonts w:ascii="Calibri" w:hAnsi="Calibri" w:cs="Calibri"/>
          <w:b/>
          <w:bCs/>
          <w:u w:val="single"/>
        </w:rPr>
      </w:pPr>
      <w:r>
        <w:rPr>
          <w:rFonts w:ascii="Calibri" w:hAnsi="Calibri"/>
          <w:b/>
          <w:u w:val="single"/>
        </w:rPr>
        <w:t>The Situation:</w:t>
      </w:r>
    </w:p>
    <w:p w:rsidR="00DD4A95" w:rsidRDefault="00DD4A95" w14:paraId="3DF27374" w14:textId="77777777">
      <w:pPr>
        <w:contextualSpacing/>
        <w:rPr>
          <w:rFonts w:ascii="Calibri" w:hAnsi="Calibri" w:cs="Calibri"/>
        </w:rPr>
      </w:pPr>
    </w:p>
    <w:p w:rsidR="00DD4A95" w:rsidRDefault="00DD4A95" w14:paraId="5E92871E" w14:textId="058E4F99">
      <w:pPr>
        <w:contextualSpacing/>
        <w:rPr>
          <w:rFonts w:ascii="Calibri" w:hAnsi="Calibri" w:cs="Calibri"/>
        </w:rPr>
      </w:pPr>
      <w:r>
        <w:rPr>
          <w:rFonts w:ascii="Calibri" w:hAnsi="Calibri"/>
        </w:rPr>
        <w:t>On Ju</w:t>
      </w:r>
      <w:r w:rsidR="00DD7257">
        <w:rPr>
          <w:rFonts w:ascii="Calibri" w:hAnsi="Calibri"/>
        </w:rPr>
        <w:t>ne</w:t>
      </w:r>
      <w:r>
        <w:rPr>
          <w:rFonts w:ascii="Calibri" w:hAnsi="Calibri"/>
        </w:rPr>
        <w:t xml:space="preserve"> </w:t>
      </w:r>
      <w:r w:rsidR="00DD7257">
        <w:rPr>
          <w:rFonts w:ascii="Calibri" w:hAnsi="Calibri"/>
        </w:rPr>
        <w:t>19</w:t>
      </w:r>
      <w:r>
        <w:rPr>
          <w:rFonts w:ascii="Calibri" w:hAnsi="Calibri"/>
        </w:rPr>
        <w:t>, 200</w:t>
      </w:r>
      <w:r w:rsidR="00DD7257">
        <w:rPr>
          <w:rFonts w:ascii="Calibri" w:hAnsi="Calibri"/>
        </w:rPr>
        <w:t>7</w:t>
      </w:r>
      <w:r>
        <w:rPr>
          <w:rFonts w:ascii="Calibri" w:hAnsi="Calibri"/>
        </w:rPr>
        <w:t xml:space="preserve">, </w:t>
      </w:r>
      <w:r w:rsidR="00DD7257">
        <w:rPr>
          <w:rFonts w:ascii="Calibri" w:hAnsi="Calibri"/>
        </w:rPr>
        <w:t>Alice Anderson</w:t>
      </w:r>
      <w:r>
        <w:rPr>
          <w:rFonts w:ascii="Calibri" w:hAnsi="Calibri"/>
        </w:rPr>
        <w:t xml:space="preserve"> was issued a Virginia real estate salesperson’s license. Her license has been associated with </w:t>
      </w:r>
      <w:r w:rsidR="00DD7257">
        <w:rPr>
          <w:rFonts w:ascii="Calibri" w:hAnsi="Calibri"/>
        </w:rPr>
        <w:t>Advanced Brokerage Co.</w:t>
      </w:r>
      <w:r>
        <w:rPr>
          <w:rFonts w:ascii="Calibri" w:hAnsi="Calibri"/>
        </w:rPr>
        <w:t xml:space="preserve"> since </w:t>
      </w:r>
      <w:r w:rsidR="00DD7257">
        <w:rPr>
          <w:rFonts w:ascii="Calibri" w:hAnsi="Calibri"/>
        </w:rPr>
        <w:t>August</w:t>
      </w:r>
      <w:r>
        <w:rPr>
          <w:rFonts w:ascii="Calibri" w:hAnsi="Calibri"/>
        </w:rPr>
        <w:t xml:space="preserve"> 1</w:t>
      </w:r>
      <w:r w:rsidR="00DD7257">
        <w:rPr>
          <w:rFonts w:ascii="Calibri" w:hAnsi="Calibri"/>
        </w:rPr>
        <w:t>8</w:t>
      </w:r>
      <w:r>
        <w:rPr>
          <w:rFonts w:ascii="Calibri" w:hAnsi="Calibri"/>
        </w:rPr>
        <w:t>, 201</w:t>
      </w:r>
      <w:r w:rsidR="00DD7257">
        <w:rPr>
          <w:rFonts w:ascii="Calibri" w:hAnsi="Calibri"/>
        </w:rPr>
        <w:t>5</w:t>
      </w:r>
      <w:r>
        <w:rPr>
          <w:rFonts w:ascii="Calibri" w:hAnsi="Calibri"/>
        </w:rPr>
        <w:t>.</w:t>
      </w:r>
    </w:p>
    <w:p w:rsidR="00DD4A95" w:rsidRDefault="00DD4A95" w14:paraId="0084D4FA" w14:textId="77777777">
      <w:pPr>
        <w:contextualSpacing/>
        <w:rPr>
          <w:rFonts w:ascii="Calibri" w:hAnsi="Calibri" w:cs="Calibri"/>
        </w:rPr>
      </w:pPr>
    </w:p>
    <w:p w:rsidR="00DD4A95" w:rsidRDefault="00DD4A95" w14:paraId="142AE1F9" w14:textId="018B514B">
      <w:pPr>
        <w:contextualSpacing/>
        <w:rPr>
          <w:rFonts w:ascii="Calibri" w:hAnsi="Calibri" w:cs="Calibri"/>
        </w:rPr>
      </w:pPr>
      <w:r>
        <w:rPr>
          <w:rFonts w:ascii="Calibri" w:hAnsi="Calibri"/>
        </w:rPr>
        <w:t xml:space="preserve">On </w:t>
      </w:r>
      <w:r w:rsidR="00DD7257">
        <w:rPr>
          <w:rFonts w:ascii="Calibri" w:hAnsi="Calibri"/>
        </w:rPr>
        <w:t>Jan</w:t>
      </w:r>
      <w:r>
        <w:rPr>
          <w:rFonts w:ascii="Calibri" w:hAnsi="Calibri"/>
        </w:rPr>
        <w:t>uary 2</w:t>
      </w:r>
      <w:r w:rsidR="00DD7257">
        <w:rPr>
          <w:rFonts w:ascii="Calibri" w:hAnsi="Calibri"/>
        </w:rPr>
        <w:t>1</w:t>
      </w:r>
      <w:r>
        <w:rPr>
          <w:rFonts w:ascii="Calibri" w:hAnsi="Calibri"/>
        </w:rPr>
        <w:t>, 201</w:t>
      </w:r>
      <w:r w:rsidR="00DD7257">
        <w:rPr>
          <w:rFonts w:ascii="Calibri" w:hAnsi="Calibri"/>
        </w:rPr>
        <w:t>8</w:t>
      </w:r>
      <w:r>
        <w:rPr>
          <w:rFonts w:ascii="Calibri" w:hAnsi="Calibri"/>
        </w:rPr>
        <w:t>, A</w:t>
      </w:r>
      <w:r w:rsidR="00DD7257">
        <w:rPr>
          <w:rFonts w:ascii="Calibri" w:hAnsi="Calibri"/>
        </w:rPr>
        <w:t>nderson sent an email requesting</w:t>
      </w:r>
      <w:r>
        <w:rPr>
          <w:rFonts w:ascii="Calibri" w:hAnsi="Calibri"/>
        </w:rPr>
        <w:t xml:space="preserve"> authorization from </w:t>
      </w:r>
      <w:r w:rsidR="00DD7257">
        <w:rPr>
          <w:rFonts w:ascii="Calibri" w:hAnsi="Calibri"/>
        </w:rPr>
        <w:t>Sara</w:t>
      </w:r>
      <w:r>
        <w:rPr>
          <w:rFonts w:ascii="Calibri" w:hAnsi="Calibri"/>
        </w:rPr>
        <w:t xml:space="preserve"> </w:t>
      </w:r>
      <w:r w:rsidR="00DD7257">
        <w:rPr>
          <w:rFonts w:ascii="Calibri" w:hAnsi="Calibri"/>
        </w:rPr>
        <w:t>Thurman</w:t>
      </w:r>
      <w:r>
        <w:rPr>
          <w:rFonts w:ascii="Calibri" w:hAnsi="Calibri"/>
        </w:rPr>
        <w:t xml:space="preserve">, a principal of </w:t>
      </w:r>
      <w:proofErr w:type="spellStart"/>
      <w:r w:rsidR="00DD7257">
        <w:rPr>
          <w:rFonts w:ascii="Calibri" w:hAnsi="Calibri"/>
        </w:rPr>
        <w:t>BusinessMarch</w:t>
      </w:r>
      <w:proofErr w:type="spellEnd"/>
      <w:r>
        <w:rPr>
          <w:rFonts w:ascii="Calibri" w:hAnsi="Calibri"/>
        </w:rPr>
        <w:t xml:space="preserve">, LLC, to market lots in </w:t>
      </w:r>
      <w:r w:rsidR="00DD7257">
        <w:rPr>
          <w:rFonts w:ascii="Calibri" w:hAnsi="Calibri"/>
        </w:rPr>
        <w:t>a particular area</w:t>
      </w:r>
      <w:r>
        <w:rPr>
          <w:rFonts w:ascii="Calibri" w:hAnsi="Calibri"/>
        </w:rPr>
        <w:t xml:space="preserve">. </w:t>
      </w:r>
      <w:r w:rsidR="00DD7257">
        <w:rPr>
          <w:rFonts w:ascii="Calibri" w:hAnsi="Calibri"/>
        </w:rPr>
        <w:t>Thurman</w:t>
      </w:r>
      <w:r>
        <w:rPr>
          <w:rFonts w:ascii="Calibri" w:hAnsi="Calibri"/>
        </w:rPr>
        <w:t xml:space="preserve"> responded by email authorizing her to list the lots in the MLS. The email did not establish a definite termination date, specify brokerage fees and how or when they would be paid, or describe the services to be rendered beyond listing the lots in MLS.</w:t>
      </w:r>
    </w:p>
    <w:p w:rsidR="00DD4A95" w:rsidRDefault="00DD4A95" w14:paraId="715594C1" w14:textId="77777777">
      <w:pPr>
        <w:contextualSpacing/>
        <w:rPr>
          <w:rFonts w:ascii="Calibri" w:hAnsi="Calibri" w:cs="Calibri"/>
        </w:rPr>
      </w:pPr>
    </w:p>
    <w:p w:rsidR="00DD4A95" w:rsidP="19DF0571" w:rsidRDefault="00DD4A95" w14:paraId="467DDFDE" w14:textId="280E44A8">
      <w:pPr>
        <w:spacing/>
        <w:contextualSpacing w:val="1"/>
        <w:rPr>
          <w:rFonts w:ascii="Calibri" w:hAnsi="Calibri" w:cs="Calibri"/>
        </w:rPr>
      </w:pPr>
      <w:r w:rsidRPr="19DF0571" w:rsidR="00EFB95F">
        <w:rPr>
          <w:rFonts w:ascii="Calibri" w:hAnsi="Calibri"/>
        </w:rPr>
        <w:t xml:space="preserve">On </w:t>
      </w:r>
      <w:r w:rsidRPr="19DF0571" w:rsidR="22B44F69">
        <w:rPr>
          <w:rFonts w:ascii="Calibri" w:hAnsi="Calibri"/>
        </w:rPr>
        <w:t>Dece</w:t>
      </w:r>
      <w:r w:rsidRPr="19DF0571" w:rsidR="00EFB95F">
        <w:rPr>
          <w:rFonts w:ascii="Calibri" w:hAnsi="Calibri"/>
        </w:rPr>
        <w:t xml:space="preserve">mber </w:t>
      </w:r>
      <w:r w:rsidRPr="19DF0571" w:rsidR="22B44F69">
        <w:rPr>
          <w:rFonts w:ascii="Calibri" w:hAnsi="Calibri"/>
        </w:rPr>
        <w:t>8</w:t>
      </w:r>
      <w:r w:rsidRPr="19DF0571" w:rsidR="00EFB95F">
        <w:rPr>
          <w:rFonts w:ascii="Calibri" w:hAnsi="Calibri"/>
        </w:rPr>
        <w:t>, 202</w:t>
      </w:r>
      <w:r w:rsidRPr="19DF0571" w:rsidR="22B44F69">
        <w:rPr>
          <w:rFonts w:ascii="Calibri" w:hAnsi="Calibri"/>
        </w:rPr>
        <w:t>3</w:t>
      </w:r>
      <w:r w:rsidRPr="19DF0571" w:rsidR="00EFB95F">
        <w:rPr>
          <w:rFonts w:ascii="Calibri" w:hAnsi="Calibri"/>
        </w:rPr>
        <w:t>, A</w:t>
      </w:r>
      <w:r w:rsidRPr="19DF0571" w:rsidR="22B44F69">
        <w:rPr>
          <w:rFonts w:ascii="Calibri" w:hAnsi="Calibri"/>
        </w:rPr>
        <w:t>nderson</w:t>
      </w:r>
      <w:r w:rsidRPr="19DF0571" w:rsidR="00EFB95F">
        <w:rPr>
          <w:rFonts w:ascii="Calibri" w:hAnsi="Calibri"/>
        </w:rPr>
        <w:t xml:space="preserve"> listed a </w:t>
      </w:r>
      <w:r w:rsidRPr="19DF0571" w:rsidR="22B44F69">
        <w:rPr>
          <w:rFonts w:ascii="Calibri" w:hAnsi="Calibri"/>
        </w:rPr>
        <w:t>BusinessMarch</w:t>
      </w:r>
      <w:r w:rsidRPr="19DF0571" w:rsidR="22B44F69">
        <w:rPr>
          <w:rFonts w:ascii="Calibri" w:hAnsi="Calibri"/>
        </w:rPr>
        <w:t>, LLC</w:t>
      </w:r>
      <w:r w:rsidRPr="19DF0571" w:rsidR="00EFB95F">
        <w:rPr>
          <w:rFonts w:ascii="Calibri" w:hAnsi="Calibri"/>
        </w:rPr>
        <w:t xml:space="preserve"> property in the MLS. The listing </w:t>
      </w:r>
      <w:r w:rsidRPr="19DF0571" w:rsidR="00EFB95F">
        <w:rPr>
          <w:rFonts w:ascii="Calibri" w:hAnsi="Calibri"/>
        </w:rPr>
        <w:t>identified</w:t>
      </w:r>
      <w:r w:rsidRPr="19DF0571" w:rsidR="00EFB95F">
        <w:rPr>
          <w:rFonts w:ascii="Calibri" w:hAnsi="Calibri"/>
        </w:rPr>
        <w:t xml:space="preserve"> A</w:t>
      </w:r>
      <w:r w:rsidRPr="19DF0571" w:rsidR="22B44F69">
        <w:rPr>
          <w:rFonts w:ascii="Calibri" w:hAnsi="Calibri"/>
        </w:rPr>
        <w:t>nderson</w:t>
      </w:r>
      <w:r w:rsidRPr="19DF0571" w:rsidR="00EFB95F">
        <w:rPr>
          <w:rFonts w:ascii="Calibri" w:hAnsi="Calibri"/>
        </w:rPr>
        <w:t xml:space="preserve"> as the listing agent and </w:t>
      </w:r>
      <w:r w:rsidRPr="19DF0571" w:rsidR="22B44F69">
        <w:rPr>
          <w:rFonts w:ascii="Calibri" w:hAnsi="Calibri"/>
        </w:rPr>
        <w:t>Advanced Brokerage Co.</w:t>
      </w:r>
      <w:r w:rsidRPr="19DF0571" w:rsidR="00EFB95F">
        <w:rPr>
          <w:rFonts w:ascii="Calibri" w:hAnsi="Calibri"/>
        </w:rPr>
        <w:t xml:space="preserve"> as the listing </w:t>
      </w:r>
      <w:r w:rsidRPr="19DF0571" w:rsidR="1D772721">
        <w:rPr>
          <w:rFonts w:ascii="Calibri" w:hAnsi="Calibri"/>
        </w:rPr>
        <w:t>office but</w:t>
      </w:r>
      <w:r w:rsidRPr="19DF0571" w:rsidR="00EFB95F">
        <w:rPr>
          <w:rFonts w:ascii="Calibri" w:hAnsi="Calibri"/>
        </w:rPr>
        <w:t xml:space="preserve"> </w:t>
      </w:r>
      <w:r w:rsidRPr="19DF0571" w:rsidR="00EFB95F">
        <w:rPr>
          <w:rFonts w:ascii="Calibri" w:hAnsi="Calibri"/>
        </w:rPr>
        <w:t>identified</w:t>
      </w:r>
      <w:r w:rsidRPr="19DF0571" w:rsidR="00EFB95F">
        <w:rPr>
          <w:rFonts w:ascii="Calibri" w:hAnsi="Calibri"/>
        </w:rPr>
        <w:t xml:space="preserve"> </w:t>
      </w:r>
      <w:r w:rsidRPr="19DF0571" w:rsidR="22B44F69">
        <w:rPr>
          <w:rFonts w:ascii="Calibri" w:hAnsi="Calibri"/>
        </w:rPr>
        <w:t>Hills Estate, Inc.</w:t>
      </w:r>
      <w:r w:rsidRPr="19DF0571" w:rsidR="00EFB95F">
        <w:rPr>
          <w:rFonts w:ascii="Calibri" w:hAnsi="Calibri"/>
        </w:rPr>
        <w:t xml:space="preserve"> as the owner even though </w:t>
      </w:r>
      <w:r w:rsidRPr="19DF0571" w:rsidR="22B44F69">
        <w:rPr>
          <w:rFonts w:ascii="Calibri" w:hAnsi="Calibri"/>
        </w:rPr>
        <w:t>BusinessMarch</w:t>
      </w:r>
      <w:r w:rsidRPr="19DF0571" w:rsidR="22B44F69">
        <w:rPr>
          <w:rFonts w:ascii="Calibri" w:hAnsi="Calibri"/>
        </w:rPr>
        <w:t>, LLC</w:t>
      </w:r>
      <w:r w:rsidRPr="19DF0571" w:rsidR="00EFB95F">
        <w:rPr>
          <w:rFonts w:ascii="Calibri" w:hAnsi="Calibri"/>
        </w:rPr>
        <w:t xml:space="preserve"> still owned the property. In </w:t>
      </w:r>
      <w:r w:rsidRPr="19DF0571" w:rsidR="22B44F69">
        <w:rPr>
          <w:rFonts w:ascii="Calibri" w:hAnsi="Calibri"/>
        </w:rPr>
        <w:t xml:space="preserve">January </w:t>
      </w:r>
      <w:r w:rsidRPr="19DF0571" w:rsidR="00EFB95F">
        <w:rPr>
          <w:rFonts w:ascii="Calibri" w:hAnsi="Calibri"/>
        </w:rPr>
        <w:t>202</w:t>
      </w:r>
      <w:r w:rsidRPr="19DF0571" w:rsidR="22B44F69">
        <w:rPr>
          <w:rFonts w:ascii="Calibri" w:hAnsi="Calibri"/>
        </w:rPr>
        <w:t>4</w:t>
      </w:r>
      <w:r w:rsidRPr="19DF0571" w:rsidR="00EFB95F">
        <w:rPr>
          <w:rFonts w:ascii="Calibri" w:hAnsi="Calibri"/>
        </w:rPr>
        <w:t xml:space="preserve">, </w:t>
      </w:r>
      <w:r w:rsidRPr="19DF0571" w:rsidR="22B44F69">
        <w:rPr>
          <w:rFonts w:ascii="Calibri" w:hAnsi="Calibri"/>
        </w:rPr>
        <w:t>Hills Estate, Inc.</w:t>
      </w:r>
      <w:r w:rsidRPr="19DF0571" w:rsidR="00EFB95F">
        <w:rPr>
          <w:rFonts w:ascii="Calibri" w:hAnsi="Calibri"/>
        </w:rPr>
        <w:t xml:space="preserve"> </w:t>
      </w:r>
      <w:r w:rsidRPr="19DF0571" w:rsidR="00EFB95F">
        <w:rPr>
          <w:rFonts w:ascii="Calibri" w:hAnsi="Calibri"/>
        </w:rPr>
        <w:t>purchased</w:t>
      </w:r>
      <w:r w:rsidRPr="19DF0571" w:rsidR="00EFB95F">
        <w:rPr>
          <w:rFonts w:ascii="Calibri" w:hAnsi="Calibri"/>
        </w:rPr>
        <w:t xml:space="preserve"> the property from </w:t>
      </w:r>
      <w:r w:rsidRPr="19DF0571" w:rsidR="22B44F69">
        <w:rPr>
          <w:rFonts w:ascii="Calibri" w:hAnsi="Calibri"/>
        </w:rPr>
        <w:t>BusinessMarch</w:t>
      </w:r>
      <w:r w:rsidRPr="19DF0571" w:rsidR="22B44F69">
        <w:rPr>
          <w:rFonts w:ascii="Calibri" w:hAnsi="Calibri"/>
        </w:rPr>
        <w:t>, LLC</w:t>
      </w:r>
      <w:r w:rsidRPr="19DF0571" w:rsidR="00EFB95F">
        <w:rPr>
          <w:rFonts w:ascii="Calibri" w:hAnsi="Calibri"/>
        </w:rPr>
        <w:t>.</w:t>
      </w:r>
    </w:p>
    <w:p w:rsidR="00D26D66" w:rsidRDefault="00D26D66" w14:paraId="10F7CB42" w14:textId="77777777">
      <w:pPr>
        <w:contextualSpacing/>
        <w:rPr>
          <w:rFonts w:ascii="Calibri" w:hAnsi="Calibri" w:cs="Calibri"/>
        </w:rPr>
      </w:pPr>
    </w:p>
    <w:p w:rsidR="00D26D66" w:rsidRDefault="00D26D66" w14:paraId="04E2950D" w14:textId="77777777">
      <w:pPr>
        <w:contextualSpacing/>
        <w:rPr>
          <w:rFonts w:ascii="Calibri" w:hAnsi="Calibri" w:cs="Calibri"/>
        </w:rPr>
      </w:pPr>
    </w:p>
    <w:p w:rsidRPr="00D26D66" w:rsidR="00D26D66" w:rsidRDefault="00D26D66" w14:paraId="6312B6CB" w14:textId="35C84A9C">
      <w:pPr>
        <w:contextualSpacing/>
        <w:rPr>
          <w:rFonts w:ascii="Calibri" w:hAnsi="Calibri" w:cs="Calibri"/>
          <w:b/>
          <w:bCs/>
          <w:u w:val="single"/>
        </w:rPr>
      </w:pPr>
      <w:r>
        <w:rPr>
          <w:rFonts w:ascii="Calibri" w:hAnsi="Calibri"/>
          <w:b/>
          <w:u w:val="single"/>
        </w:rPr>
        <w:t>The Facts:</w:t>
      </w:r>
    </w:p>
    <w:p w:rsidR="00D26D66" w:rsidRDefault="00D26D66" w14:paraId="25AFEBF0" w14:textId="77777777">
      <w:pPr>
        <w:contextualSpacing/>
        <w:rPr>
          <w:rFonts w:ascii="Calibri" w:hAnsi="Calibri" w:cs="Calibri"/>
        </w:rPr>
      </w:pPr>
    </w:p>
    <w:p w:rsidR="00D26D66" w:rsidRDefault="00A95591" w14:paraId="04A56E4B" w14:textId="62DE9F1C">
      <w:pPr>
        <w:contextualSpacing/>
        <w:rPr>
          <w:rFonts w:ascii="Calibri" w:hAnsi="Calibri" w:cs="Calibri"/>
        </w:rPr>
      </w:pPr>
      <w:r>
        <w:rPr>
          <w:rFonts w:ascii="Calibri" w:hAnsi="Calibri"/>
        </w:rPr>
        <w:t>A</w:t>
      </w:r>
      <w:r w:rsidR="00DD7257">
        <w:rPr>
          <w:rFonts w:ascii="Calibri" w:hAnsi="Calibri"/>
        </w:rPr>
        <w:t>nderson</w:t>
      </w:r>
      <w:r>
        <w:rPr>
          <w:rFonts w:ascii="Calibri" w:hAnsi="Calibri"/>
        </w:rPr>
        <w:t xml:space="preserve"> stated that her arrangement with </w:t>
      </w:r>
      <w:proofErr w:type="spellStart"/>
      <w:r w:rsidR="00DD7257">
        <w:rPr>
          <w:rFonts w:ascii="Calibri" w:hAnsi="Calibri"/>
        </w:rPr>
        <w:t>BusinessMarch</w:t>
      </w:r>
      <w:proofErr w:type="spellEnd"/>
      <w:r w:rsidR="00DD7257">
        <w:rPr>
          <w:rFonts w:ascii="Calibri" w:hAnsi="Calibri"/>
        </w:rPr>
        <w:t>, LLC</w:t>
      </w:r>
      <w:r>
        <w:rPr>
          <w:rFonts w:ascii="Calibri" w:hAnsi="Calibri"/>
        </w:rPr>
        <w:t xml:space="preserve"> was largely verbal and involved </w:t>
      </w:r>
      <w:r w:rsidR="00DD7257">
        <w:rPr>
          <w:rFonts w:ascii="Calibri" w:hAnsi="Calibri"/>
        </w:rPr>
        <w:t>Hills Estate, Inc.</w:t>
      </w:r>
      <w:r>
        <w:rPr>
          <w:rFonts w:ascii="Calibri" w:hAnsi="Calibri"/>
        </w:rPr>
        <w:t xml:space="preserve"> purchasing two or three lots at a time for construction. The </w:t>
      </w:r>
      <w:r w:rsidR="00DD7257">
        <w:rPr>
          <w:rFonts w:ascii="Calibri" w:hAnsi="Calibri"/>
        </w:rPr>
        <w:t xml:space="preserve">January </w:t>
      </w:r>
      <w:r>
        <w:rPr>
          <w:rFonts w:ascii="Calibri" w:hAnsi="Calibri"/>
        </w:rPr>
        <w:t>2</w:t>
      </w:r>
      <w:r w:rsidR="00DD7257">
        <w:rPr>
          <w:rFonts w:ascii="Calibri" w:hAnsi="Calibri"/>
        </w:rPr>
        <w:t>1</w:t>
      </w:r>
      <w:r>
        <w:rPr>
          <w:rFonts w:ascii="Calibri" w:hAnsi="Calibri"/>
        </w:rPr>
        <w:t xml:space="preserve">, </w:t>
      </w:r>
      <w:proofErr w:type="gramStart"/>
      <w:r>
        <w:rPr>
          <w:rFonts w:ascii="Calibri" w:hAnsi="Calibri"/>
        </w:rPr>
        <w:t>201</w:t>
      </w:r>
      <w:r w:rsidR="00DD7257">
        <w:rPr>
          <w:rFonts w:ascii="Calibri" w:hAnsi="Calibri"/>
        </w:rPr>
        <w:t>8</w:t>
      </w:r>
      <w:proofErr w:type="gramEnd"/>
      <w:r>
        <w:rPr>
          <w:rFonts w:ascii="Calibri" w:hAnsi="Calibri"/>
        </w:rPr>
        <w:t xml:space="preserve"> email was the only written agreement provided for the listing relationship. The Board found that the email did not contain the required terms of a brokerage agreement. Although the original email indicated that </w:t>
      </w:r>
      <w:proofErr w:type="spellStart"/>
      <w:r w:rsidR="00DD7257">
        <w:rPr>
          <w:rFonts w:ascii="Calibri" w:hAnsi="Calibri"/>
        </w:rPr>
        <w:t>BusinessMarch</w:t>
      </w:r>
      <w:proofErr w:type="spellEnd"/>
      <w:r w:rsidR="00DD7257">
        <w:rPr>
          <w:rFonts w:ascii="Calibri" w:hAnsi="Calibri"/>
        </w:rPr>
        <w:t>, LLC</w:t>
      </w:r>
      <w:r>
        <w:rPr>
          <w:rFonts w:ascii="Calibri" w:hAnsi="Calibri"/>
        </w:rPr>
        <w:t xml:space="preserve"> would not pay a commission, </w:t>
      </w:r>
      <w:proofErr w:type="spellStart"/>
      <w:r w:rsidR="00DD7257">
        <w:rPr>
          <w:rFonts w:ascii="Calibri" w:hAnsi="Calibri"/>
        </w:rPr>
        <w:t>BusinessMarch</w:t>
      </w:r>
      <w:proofErr w:type="spellEnd"/>
      <w:r>
        <w:rPr>
          <w:rFonts w:ascii="Calibri" w:hAnsi="Calibri"/>
        </w:rPr>
        <w:t xml:space="preserve"> ultimately agreed in the </w:t>
      </w:r>
      <w:r w:rsidR="00DD7257">
        <w:rPr>
          <w:rFonts w:ascii="Calibri" w:hAnsi="Calibri"/>
        </w:rPr>
        <w:t>January</w:t>
      </w:r>
      <w:r>
        <w:rPr>
          <w:rFonts w:ascii="Calibri" w:hAnsi="Calibri"/>
        </w:rPr>
        <w:t xml:space="preserve"> 202</w:t>
      </w:r>
      <w:r w:rsidR="00DD7257">
        <w:rPr>
          <w:rFonts w:ascii="Calibri" w:hAnsi="Calibri"/>
        </w:rPr>
        <w:t>4</w:t>
      </w:r>
      <w:r>
        <w:rPr>
          <w:rFonts w:ascii="Calibri" w:hAnsi="Calibri"/>
        </w:rPr>
        <w:t xml:space="preserve"> land contract to pay a commission at settlement, and </w:t>
      </w:r>
      <w:r w:rsidR="00DD7257">
        <w:rPr>
          <w:rFonts w:ascii="Calibri" w:hAnsi="Calibri"/>
        </w:rPr>
        <w:t>Advanced Brokerage Co.</w:t>
      </w:r>
      <w:r>
        <w:rPr>
          <w:rFonts w:ascii="Calibri" w:hAnsi="Calibri"/>
        </w:rPr>
        <w:t xml:space="preserve"> paid </w:t>
      </w:r>
      <w:r w:rsidR="00DD7257">
        <w:rPr>
          <w:rFonts w:ascii="Calibri" w:hAnsi="Calibri"/>
        </w:rPr>
        <w:t>Anderson the amount</w:t>
      </w:r>
      <w:r>
        <w:rPr>
          <w:rFonts w:ascii="Calibri" w:hAnsi="Calibri"/>
        </w:rPr>
        <w:t>. The Board ultimately found no violation on the allegation that A</w:t>
      </w:r>
      <w:r w:rsidR="00DD7257">
        <w:rPr>
          <w:rFonts w:ascii="Calibri" w:hAnsi="Calibri"/>
        </w:rPr>
        <w:t>nderson</w:t>
      </w:r>
      <w:r>
        <w:rPr>
          <w:rFonts w:ascii="Calibri" w:hAnsi="Calibri"/>
        </w:rPr>
        <w:t xml:space="preserve"> failed to perform in accordance with the brokerage agreement.</w:t>
      </w:r>
    </w:p>
    <w:p w:rsidR="00556452" w:rsidRDefault="00556452" w14:paraId="5C4BB9D8" w14:textId="77777777">
      <w:pPr>
        <w:contextualSpacing/>
        <w:rPr>
          <w:rFonts w:ascii="Calibri" w:hAnsi="Calibri" w:cs="Calibri"/>
        </w:rPr>
      </w:pPr>
    </w:p>
    <w:p w:rsidR="00556452" w:rsidRDefault="00556452" w14:paraId="1B460EAE" w14:textId="77777777">
      <w:pPr>
        <w:contextualSpacing/>
        <w:rPr>
          <w:rFonts w:ascii="Calibri" w:hAnsi="Calibri" w:cs="Calibri"/>
        </w:rPr>
      </w:pPr>
    </w:p>
    <w:p w:rsidR="00556452" w:rsidRDefault="00556452" w14:paraId="027049FA" w14:textId="77777777">
      <w:pPr>
        <w:contextualSpacing/>
        <w:rPr>
          <w:rFonts w:ascii="Calibri" w:hAnsi="Calibri" w:cs="Calibri"/>
        </w:rPr>
      </w:pPr>
    </w:p>
    <w:p w:rsidRPr="00556452" w:rsidR="00556452" w:rsidRDefault="00556452" w14:paraId="4D45E5A1" w14:textId="6CFA372F">
      <w:pPr>
        <w:contextualSpacing/>
        <w:rPr>
          <w:rFonts w:ascii="Calibri" w:hAnsi="Calibri" w:cs="Calibri"/>
          <w:b/>
          <w:bCs/>
          <w:u w:val="single"/>
        </w:rPr>
      </w:pPr>
      <w:r>
        <w:rPr>
          <w:rFonts w:ascii="Calibri" w:hAnsi="Calibri"/>
          <w:b/>
          <w:u w:val="single"/>
        </w:rPr>
        <w:lastRenderedPageBreak/>
        <w:t>The Result:</w:t>
      </w:r>
    </w:p>
    <w:p w:rsidR="00556452" w:rsidRDefault="00556452" w14:paraId="3A23BC3D" w14:textId="77777777">
      <w:pPr>
        <w:contextualSpacing/>
        <w:rPr>
          <w:rFonts w:ascii="Calibri" w:hAnsi="Calibri" w:cs="Calibri"/>
        </w:rPr>
      </w:pPr>
    </w:p>
    <w:p w:rsidRPr="000F1D5B" w:rsidR="005D49D0" w:rsidRDefault="00556452" w14:paraId="7C4D9C8D" w14:textId="7D79AABA">
      <w:pPr>
        <w:contextualSpacing/>
        <w:rPr>
          <w:rFonts w:ascii="Calibri" w:hAnsi="Calibri" w:cs="Calibri"/>
        </w:rPr>
      </w:pPr>
      <w:r>
        <w:rPr>
          <w:rFonts w:ascii="Calibri" w:hAnsi="Calibri"/>
        </w:rPr>
        <w:t>The Virginia Real Estate Board found substantial evidence that A</w:t>
      </w:r>
      <w:r w:rsidR="00DD7257">
        <w:rPr>
          <w:rFonts w:ascii="Calibri" w:hAnsi="Calibri"/>
        </w:rPr>
        <w:t>nderson</w:t>
      </w:r>
      <w:r>
        <w:rPr>
          <w:rFonts w:ascii="Calibri" w:hAnsi="Calibri"/>
        </w:rPr>
        <w:t xml:space="preserve"> violated § 54.1-2137.B of the Code of Virginia by failing to establish a written brokerage agreement containing the required terms. The Board also found that she violated 18 VAC 135-20-260.12.e by misrepresenting ownership of the property in the MLS. The Board imposed a $350 penalty for Count 1 and a $500 penalty for Count 3, for a total monetary penalty of $850. The Board also placed </w:t>
      </w:r>
      <w:r w:rsidR="00DD7257">
        <w:rPr>
          <w:rFonts w:ascii="Calibri" w:hAnsi="Calibri"/>
        </w:rPr>
        <w:t>Anderson</w:t>
      </w:r>
      <w:r>
        <w:rPr>
          <w:rFonts w:ascii="Calibri" w:hAnsi="Calibri"/>
        </w:rPr>
        <w:t xml:space="preserve"> on probation for six months and required her to complete three classroom hours of Board-approved post-license education concerning Agency Law. The order was entered Ju</w:t>
      </w:r>
      <w:r w:rsidR="00DD7257">
        <w:rPr>
          <w:rFonts w:ascii="Calibri" w:hAnsi="Calibri"/>
        </w:rPr>
        <w:t>ne</w:t>
      </w:r>
      <w:r>
        <w:rPr>
          <w:rFonts w:ascii="Calibri" w:hAnsi="Calibri"/>
        </w:rPr>
        <w:t xml:space="preserve"> 1</w:t>
      </w:r>
      <w:r w:rsidR="00DD7257">
        <w:rPr>
          <w:rFonts w:ascii="Calibri" w:hAnsi="Calibri"/>
        </w:rPr>
        <w:t>7</w:t>
      </w:r>
      <w:r>
        <w:rPr>
          <w:rFonts w:ascii="Calibri" w:hAnsi="Calibri"/>
        </w:rPr>
        <w:t>, 2026, and the monetary penalty was required to be paid within 60 days.</w:t>
      </w:r>
    </w:p>
    <w:sectPr w:rsidRPr="000F1D5B" w:rsidR="005D49D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5B"/>
    <w:rsid w:val="000F1D5B"/>
    <w:rsid w:val="00291422"/>
    <w:rsid w:val="002B2BC7"/>
    <w:rsid w:val="00380BFE"/>
    <w:rsid w:val="00556452"/>
    <w:rsid w:val="005D49D0"/>
    <w:rsid w:val="00621D12"/>
    <w:rsid w:val="00785E1C"/>
    <w:rsid w:val="00A35127"/>
    <w:rsid w:val="00A6408C"/>
    <w:rsid w:val="00A66FCC"/>
    <w:rsid w:val="00A95591"/>
    <w:rsid w:val="00A96F04"/>
    <w:rsid w:val="00B34E37"/>
    <w:rsid w:val="00B671C0"/>
    <w:rsid w:val="00D26D66"/>
    <w:rsid w:val="00DD4A95"/>
    <w:rsid w:val="00DD7257"/>
    <w:rsid w:val="00EA21F0"/>
    <w:rsid w:val="00EFB95F"/>
    <w:rsid w:val="00FA1549"/>
    <w:rsid w:val="00FE7B9E"/>
    <w:rsid w:val="19DF0571"/>
    <w:rsid w:val="1D772721"/>
    <w:rsid w:val="22B4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6EFAA"/>
  <w15:chartTrackingRefBased/>
  <w15:docId w15:val="{1359A49E-EC4C-0641-8C15-98B70562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D5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D5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F1D5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F1D5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F1D5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F1D5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F1D5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F1D5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F1D5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F1D5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F1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D5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F1D5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F1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D5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F1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D5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F1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D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E7025548F6494E8C1ABF7D2740F2F5" ma:contentTypeVersion="17" ma:contentTypeDescription="Create a new document." ma:contentTypeScope="" ma:versionID="92a4005fd565fb36c2d063284bf52ce8">
  <xsd:schema xmlns:xsd="http://www.w3.org/2001/XMLSchema" xmlns:xs="http://www.w3.org/2001/XMLSchema" xmlns:p="http://schemas.microsoft.com/office/2006/metadata/properties" xmlns:ns2="ba630d7b-8c89-47ad-91ac-97942cba60d1" xmlns:ns3="0207266a-8549-4d12-87c7-6d3d79637e47" targetNamespace="http://schemas.microsoft.com/office/2006/metadata/properties" ma:root="true" ma:fieldsID="c14a2f10567cf6897a8a6597ac5ace0f" ns2:_="" ns3:_="">
    <xsd:import namespace="ba630d7b-8c89-47ad-91ac-97942cba60d1"/>
    <xsd:import namespace="0207266a-8549-4d12-87c7-6d3d79637e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30d7b-8c89-47ad-91ac-97942cba6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dee32d4-85ac-40c2-9e8e-56c6090433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7266a-8549-4d12-87c7-6d3d79637e4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55bc54e-6852-432d-a8bf-2ccd59860851}" ma:internalName="TaxCatchAll" ma:showField="CatchAllData" ma:web="0207266a-8549-4d12-87c7-6d3d79637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630d7b-8c89-47ad-91ac-97942cba60d1">
      <Terms xmlns="http://schemas.microsoft.com/office/infopath/2007/PartnerControls"/>
    </lcf76f155ced4ddcb4097134ff3c332f>
    <TaxCatchAll xmlns="0207266a-8549-4d12-87c7-6d3d79637e47" xsi:nil="true"/>
  </documentManagement>
</p:properties>
</file>

<file path=customXml/itemProps1.xml><?xml version="1.0" encoding="utf-8"?>
<ds:datastoreItem xmlns:ds="http://schemas.openxmlformats.org/officeDocument/2006/customXml" ds:itemID="{6286C1E6-E109-4799-9966-3362F8C4BD42}"/>
</file>

<file path=customXml/itemProps2.xml><?xml version="1.0" encoding="utf-8"?>
<ds:datastoreItem xmlns:ds="http://schemas.openxmlformats.org/officeDocument/2006/customXml" ds:itemID="{BF5C3C40-0ED3-4E23-AADC-9ED1123ECC40}"/>
</file>

<file path=customXml/itemProps3.xml><?xml version="1.0" encoding="utf-8"?>
<ds:datastoreItem xmlns:ds="http://schemas.openxmlformats.org/officeDocument/2006/customXml" ds:itemID="{8B861A20-1444-4A0D-A543-4732C4DA3AC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Leonard</dc:creator>
  <cp:keywords/>
  <dc:description/>
  <cp:lastModifiedBy>Stephanie Flynn</cp:lastModifiedBy>
  <cp:revision>4</cp:revision>
  <dcterms:created xsi:type="dcterms:W3CDTF">2026-09-28T15:24:00Z</dcterms:created>
  <dcterms:modified xsi:type="dcterms:W3CDTF">2026-10-05T13:34:14Z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0x010100DFE7025548F6494E8C1ABF7D2740F2F5</vt:lpwstr>
  </property>
  <property fmtid="{D5CDD505-2E9C-101B-9397-08002B2CF9AE}" pid="3" name="MediaServiceImageTags">
    <vt:lpwstr/>
  </property>
</Properties>
</file>