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60AE8" w14:textId="4BF59333" w:rsidR="00B4302F" w:rsidRDefault="00BB5A7C" w:rsidP="00BB5A7C">
      <w:pPr>
        <w:spacing w:line="360" w:lineRule="auto"/>
      </w:pPr>
      <w:r>
        <w:t>Slide 1</w:t>
      </w:r>
    </w:p>
    <w:p w14:paraId="1BAC0C68" w14:textId="77777777" w:rsidR="00BB5A7C" w:rsidRDefault="00BB5A7C" w:rsidP="00BB5A7C">
      <w:pPr>
        <w:spacing w:line="360" w:lineRule="auto"/>
      </w:pPr>
    </w:p>
    <w:p w14:paraId="5E0739E6" w14:textId="475D13F8" w:rsidR="00BB5A7C" w:rsidRDefault="00BD2EA6" w:rsidP="00BB5A7C">
      <w:pPr>
        <w:spacing w:line="360" w:lineRule="auto"/>
        <w:jc w:val="center"/>
      </w:pPr>
      <w:r>
        <w:rPr>
          <w:noProof/>
        </w:rPr>
        <w:drawing>
          <wp:inline distT="0" distB="0" distL="0" distR="0" wp14:anchorId="58D3F38C" wp14:editId="5E39444B">
            <wp:extent cx="4811486" cy="2706461"/>
            <wp:effectExtent l="0" t="0" r="1905" b="0"/>
            <wp:docPr id="21726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60266" name="Picture 2172602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6169" cy="2720345"/>
                    </a:xfrm>
                    <a:prstGeom prst="rect">
                      <a:avLst/>
                    </a:prstGeom>
                  </pic:spPr>
                </pic:pic>
              </a:graphicData>
            </a:graphic>
          </wp:inline>
        </w:drawing>
      </w:r>
    </w:p>
    <w:p w14:paraId="42722870" w14:textId="77777777" w:rsidR="00BB5A7C" w:rsidRDefault="00BB5A7C" w:rsidP="00BB5A7C">
      <w:pPr>
        <w:spacing w:line="360" w:lineRule="auto"/>
        <w:jc w:val="center"/>
      </w:pPr>
    </w:p>
    <w:p w14:paraId="2656AC00" w14:textId="77777777" w:rsidR="00BB5A7C" w:rsidRDefault="00BB5A7C" w:rsidP="00BB5A7C">
      <w:pPr>
        <w:spacing w:line="360" w:lineRule="auto"/>
      </w:pPr>
    </w:p>
    <w:p w14:paraId="408D1C7F" w14:textId="008B02AA" w:rsidR="00BB5A7C" w:rsidRDefault="00BB5A7C">
      <w:r>
        <w:br w:type="page"/>
      </w:r>
    </w:p>
    <w:p w14:paraId="6FF1F505" w14:textId="3051A2AD" w:rsidR="00BB5A7C" w:rsidRDefault="00BB5A7C" w:rsidP="00BB5A7C">
      <w:pPr>
        <w:spacing w:line="360" w:lineRule="auto"/>
      </w:pPr>
      <w:r>
        <w:lastRenderedPageBreak/>
        <w:t>Slide 2</w:t>
      </w:r>
    </w:p>
    <w:p w14:paraId="4995F12A" w14:textId="77777777" w:rsidR="00BB5A7C" w:rsidRDefault="00BB5A7C" w:rsidP="00BB5A7C">
      <w:pPr>
        <w:spacing w:line="360" w:lineRule="auto"/>
      </w:pPr>
    </w:p>
    <w:p w14:paraId="124F6D91" w14:textId="53E47B59" w:rsidR="00BB5A7C" w:rsidRDefault="00BD2EA6" w:rsidP="00BB5A7C">
      <w:pPr>
        <w:spacing w:line="360" w:lineRule="auto"/>
        <w:jc w:val="center"/>
      </w:pPr>
      <w:r>
        <w:rPr>
          <w:noProof/>
        </w:rPr>
        <w:drawing>
          <wp:inline distT="0" distB="0" distL="0" distR="0" wp14:anchorId="7F5CE22A" wp14:editId="0C456B7D">
            <wp:extent cx="4659750" cy="2621110"/>
            <wp:effectExtent l="0" t="0" r="1270" b="0"/>
            <wp:docPr id="1671800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00301" name="Picture 16718003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3838" cy="2634659"/>
                    </a:xfrm>
                    <a:prstGeom prst="rect">
                      <a:avLst/>
                    </a:prstGeom>
                  </pic:spPr>
                </pic:pic>
              </a:graphicData>
            </a:graphic>
          </wp:inline>
        </w:drawing>
      </w:r>
    </w:p>
    <w:p w14:paraId="46BA56F0" w14:textId="77777777" w:rsidR="00BB5A7C" w:rsidRDefault="00BB5A7C" w:rsidP="00BB5A7C">
      <w:pPr>
        <w:spacing w:line="360" w:lineRule="auto"/>
        <w:jc w:val="center"/>
      </w:pPr>
    </w:p>
    <w:p w14:paraId="0A7D1767" w14:textId="77777777" w:rsidR="00BB5A7C" w:rsidRDefault="00BB5A7C" w:rsidP="00BB5A7C">
      <w:pPr>
        <w:autoSpaceDE w:val="0"/>
        <w:autoSpaceDN w:val="0"/>
        <w:adjustRightInd w:val="0"/>
        <w:spacing w:after="0" w:line="240" w:lineRule="auto"/>
        <w:rPr>
          <w:rFonts w:ascii="Calibri" w:eastAsia="Times New Roman" w:hAnsi="Times New Roman" w:cs="Calibri"/>
          <w:b/>
          <w:bCs/>
          <w:kern w:val="24"/>
        </w:rPr>
      </w:pPr>
      <w:r>
        <w:rPr>
          <w:rFonts w:ascii="Calibri" w:eastAsia="Times New Roman" w:hAnsi="Times New Roman" w:cs="Calibri"/>
          <w:b/>
          <w:bCs/>
          <w:kern w:val="24"/>
        </w:rPr>
        <w:t xml:space="preserve">Instructor: </w:t>
      </w:r>
    </w:p>
    <w:p w14:paraId="7BF77E31" w14:textId="77777777" w:rsidR="00BB5A7C" w:rsidRDefault="00BB5A7C" w:rsidP="00BB5A7C">
      <w:pPr>
        <w:autoSpaceDE w:val="0"/>
        <w:autoSpaceDN w:val="0"/>
        <w:adjustRightInd w:val="0"/>
        <w:spacing w:after="0" w:line="240" w:lineRule="auto"/>
        <w:rPr>
          <w:rFonts w:ascii="Calibri" w:eastAsia="Times New Roman" w:hAnsi="Times New Roman" w:cs="Calibri"/>
          <w:b/>
          <w:bCs/>
          <w:kern w:val="24"/>
        </w:rPr>
      </w:pPr>
    </w:p>
    <w:p w14:paraId="60B10B58"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eastAsia="Times New Roman" w:hAnsi="Times New Roman" w:cs="Calibri"/>
          <w:kern w:val="24"/>
        </w:rPr>
        <w:t>Introduce speaker. Note for this sales meeting kit, we will not go over every single bill that has passed. Virginia REALTORS</w:t>
      </w:r>
      <w:r>
        <w:rPr>
          <w:rFonts w:ascii="Calibri" w:eastAsia="Times New Roman" w:hAnsi="Times New Roman" w:cs="Calibri"/>
          <w:kern w:val="24"/>
        </w:rPr>
        <w:t>®</w:t>
      </w:r>
      <w:r>
        <w:rPr>
          <w:rFonts w:ascii="Calibri" w:eastAsia="Times New Roman" w:hAnsi="Times New Roman" w:cs="Calibri"/>
          <w:kern w:val="24"/>
        </w:rPr>
        <w:t xml:space="preserve"> does offer courses for CLE which address these changes and there are multiple resources on their website which go into detail about the ones that impact you the most. </w:t>
      </w:r>
    </w:p>
    <w:p w14:paraId="030D1E64"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p>
    <w:p w14:paraId="295399A0"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eastAsia="Times New Roman" w:hAnsi="Times New Roman" w:cs="Calibri"/>
          <w:kern w:val="24"/>
        </w:rPr>
        <w:t>Please take note of when these changes will take place, they are effective July 1</w:t>
      </w:r>
      <w:r>
        <w:rPr>
          <w:rFonts w:ascii="Calibri" w:eastAsia="Times New Roman" w:hAnsi="Times New Roman" w:cs="Calibri"/>
          <w:kern w:val="24"/>
          <w:vertAlign w:val="superscript"/>
        </w:rPr>
        <w:t>st</w:t>
      </w:r>
      <w:r>
        <w:rPr>
          <w:rFonts w:ascii="Calibri" w:eastAsia="Times New Roman" w:hAnsi="Times New Roman" w:cs="Calibri"/>
          <w:kern w:val="24"/>
        </w:rPr>
        <w:t xml:space="preserve">, </w:t>
      </w:r>
      <w:proofErr w:type="gramStart"/>
      <w:r>
        <w:rPr>
          <w:rFonts w:ascii="Calibri" w:eastAsia="Times New Roman" w:hAnsi="Times New Roman" w:cs="Calibri"/>
          <w:kern w:val="24"/>
        </w:rPr>
        <w:t>2026</w:t>
      </w:r>
      <w:proofErr w:type="gramEnd"/>
      <w:r>
        <w:rPr>
          <w:rFonts w:ascii="Calibri" w:eastAsia="Times New Roman" w:hAnsi="Times New Roman" w:cs="Calibri"/>
          <w:kern w:val="24"/>
        </w:rPr>
        <w:t xml:space="preserve"> unless noted.</w:t>
      </w:r>
    </w:p>
    <w:p w14:paraId="07396AEB"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p>
    <w:p w14:paraId="40C7710B"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eastAsia="Times New Roman" w:hAnsi="Times New Roman" w:cs="Calibri"/>
          <w:kern w:val="24"/>
        </w:rPr>
        <w:t xml:space="preserve">The first is the deed fraud bill, HB163 / SB316.  </w:t>
      </w:r>
    </w:p>
    <w:p w14:paraId="3E488B43"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p>
    <w:p w14:paraId="00136222" w14:textId="77777777" w:rsidR="00BB5A7C" w:rsidRDefault="00BB5A7C" w:rsidP="00BB5A7C">
      <w:pPr>
        <w:numPr>
          <w:ilvl w:val="0"/>
          <w:numId w:val="1"/>
        </w:numPr>
        <w:autoSpaceDE w:val="0"/>
        <w:autoSpaceDN w:val="0"/>
        <w:adjustRightInd w:val="0"/>
        <w:spacing w:after="0" w:line="240" w:lineRule="auto"/>
        <w:ind w:left="270" w:hanging="270"/>
        <w:rPr>
          <w:rFonts w:ascii="Calibri" w:eastAsia="Times New Roman" w:hAnsi="Times New Roman" w:cs="Calibri"/>
          <w:kern w:val="24"/>
        </w:rPr>
      </w:pPr>
      <w:r>
        <w:rPr>
          <w:rFonts w:ascii="Calibri" w:eastAsia="Times New Roman" w:hAnsi="Times New Roman" w:cs="Calibri"/>
          <w:kern w:val="24"/>
        </w:rPr>
        <w:t xml:space="preserve">Starting on July 1, </w:t>
      </w:r>
      <w:r>
        <w:rPr>
          <w:rFonts w:ascii="Calibri" w:eastAsia="Times New Roman" w:hAnsi="Times New Roman" w:cs="Calibri"/>
          <w:b/>
          <w:bCs/>
          <w:kern w:val="24"/>
        </w:rPr>
        <w:t>2027</w:t>
      </w:r>
      <w:r>
        <w:rPr>
          <w:rFonts w:ascii="Calibri" w:eastAsia="Times New Roman" w:hAnsi="Times New Roman" w:cs="Calibri"/>
          <w:kern w:val="24"/>
        </w:rPr>
        <w:t xml:space="preserve">, all localities with a network or system for electronic documents must now offer a property alert notification system to residents. Homeowners will be allowed to sign up to receive alerts if anything is filed with their property address. This will help homeowners monitor if fraudulent liens or deed changes are filed on their property. </w:t>
      </w:r>
    </w:p>
    <w:p w14:paraId="02A86F33"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p>
    <w:p w14:paraId="12BE9787" w14:textId="77777777" w:rsidR="00BB5A7C" w:rsidRDefault="00BB5A7C" w:rsidP="00BB5A7C">
      <w:pPr>
        <w:numPr>
          <w:ilvl w:val="0"/>
          <w:numId w:val="1"/>
        </w:numPr>
        <w:autoSpaceDE w:val="0"/>
        <w:autoSpaceDN w:val="0"/>
        <w:adjustRightInd w:val="0"/>
        <w:spacing w:after="0" w:line="240" w:lineRule="auto"/>
        <w:ind w:left="270" w:hanging="270"/>
        <w:rPr>
          <w:rFonts w:ascii="Calibri" w:eastAsia="Times New Roman" w:hAnsi="Times New Roman" w:cs="Calibri"/>
          <w:kern w:val="24"/>
        </w:rPr>
      </w:pPr>
      <w:r>
        <w:rPr>
          <w:rFonts w:ascii="Calibri" w:eastAsia="Times New Roman" w:hAnsi="Times New Roman" w:cs="Calibri"/>
          <w:kern w:val="24"/>
        </w:rPr>
        <w:t xml:space="preserve">Second: Notaries. Beginning on July 1, </w:t>
      </w:r>
      <w:r>
        <w:rPr>
          <w:rFonts w:ascii="Calibri" w:eastAsia="Times New Roman" w:hAnsi="Times New Roman" w:cs="Calibri"/>
          <w:b/>
          <w:bCs/>
          <w:kern w:val="24"/>
        </w:rPr>
        <w:t xml:space="preserve">2027, </w:t>
      </w:r>
      <w:r>
        <w:rPr>
          <w:rFonts w:ascii="Calibri" w:eastAsia="Times New Roman" w:hAnsi="Times New Roman" w:cs="Calibri"/>
          <w:kern w:val="24"/>
        </w:rPr>
        <w:t xml:space="preserve">all notaries will have to complete pre-license and continuing education. And starting </w:t>
      </w:r>
      <w:proofErr w:type="gramStart"/>
      <w:r>
        <w:rPr>
          <w:rFonts w:ascii="Calibri" w:eastAsia="Times New Roman" w:hAnsi="Times New Roman" w:cs="Calibri"/>
          <w:kern w:val="24"/>
        </w:rPr>
        <w:t>in</w:t>
      </w:r>
      <w:proofErr w:type="gramEnd"/>
      <w:r>
        <w:rPr>
          <w:rFonts w:ascii="Calibri" w:eastAsia="Times New Roman" w:hAnsi="Times New Roman" w:cs="Calibri"/>
          <w:kern w:val="24"/>
        </w:rPr>
        <w:t xml:space="preserve"> July 1 of this year, 2026, notaries will have to provide proof of their commission to obtain a notary seal. </w:t>
      </w:r>
    </w:p>
    <w:p w14:paraId="34C7C651" w14:textId="77777777" w:rsidR="00BB5A7C" w:rsidRDefault="00BB5A7C" w:rsidP="00BB5A7C">
      <w:pPr>
        <w:autoSpaceDE w:val="0"/>
        <w:autoSpaceDN w:val="0"/>
        <w:adjustRightInd w:val="0"/>
        <w:spacing w:after="0" w:line="240" w:lineRule="auto"/>
        <w:ind w:left="270" w:hanging="270"/>
        <w:rPr>
          <w:rFonts w:ascii="Calibri" w:eastAsia="Times New Roman" w:hAnsi="Times New Roman" w:cs="Calibri"/>
          <w:kern w:val="24"/>
        </w:rPr>
      </w:pPr>
    </w:p>
    <w:p w14:paraId="6F0FE284" w14:textId="77777777" w:rsidR="00BB5A7C" w:rsidRDefault="00BB5A7C" w:rsidP="00BB5A7C">
      <w:pPr>
        <w:numPr>
          <w:ilvl w:val="0"/>
          <w:numId w:val="1"/>
        </w:numPr>
        <w:autoSpaceDE w:val="0"/>
        <w:autoSpaceDN w:val="0"/>
        <w:adjustRightInd w:val="0"/>
        <w:spacing w:after="0" w:line="240" w:lineRule="auto"/>
        <w:ind w:left="270" w:hanging="270"/>
        <w:rPr>
          <w:rFonts w:ascii="Calibri" w:eastAsia="Times New Roman" w:hAnsi="Times New Roman" w:cs="Calibri"/>
          <w:kern w:val="24"/>
        </w:rPr>
      </w:pPr>
      <w:r>
        <w:rPr>
          <w:rFonts w:ascii="Calibri" w:eastAsia="Times New Roman" w:hAnsi="Times New Roman" w:cs="Calibri"/>
          <w:kern w:val="24"/>
        </w:rPr>
        <w:lastRenderedPageBreak/>
        <w:t xml:space="preserve">Third: Starting on July 1 of this year, </w:t>
      </w:r>
      <w:r>
        <w:rPr>
          <w:rFonts w:ascii="Calibri" w:eastAsia="Times New Roman" w:hAnsi="Times New Roman" w:cs="Calibri"/>
          <w:b/>
          <w:bCs/>
          <w:kern w:val="24"/>
        </w:rPr>
        <w:t>2026</w:t>
      </w:r>
      <w:r>
        <w:rPr>
          <w:rFonts w:ascii="Calibri" w:eastAsia="Times New Roman" w:hAnsi="Times New Roman" w:cs="Calibri"/>
          <w:kern w:val="24"/>
        </w:rPr>
        <w:t xml:space="preserve">, All notaries (not just e-notaries) will need to keep a record of notarial acts and will need to maintain those records for 5 years. </w:t>
      </w:r>
    </w:p>
    <w:p w14:paraId="4F71C874" w14:textId="77777777" w:rsidR="00BB5A7C" w:rsidRDefault="00BB5A7C" w:rsidP="00BB5A7C">
      <w:pPr>
        <w:autoSpaceDE w:val="0"/>
        <w:autoSpaceDN w:val="0"/>
        <w:adjustRightInd w:val="0"/>
        <w:spacing w:after="0" w:line="240" w:lineRule="auto"/>
        <w:ind w:left="270" w:hanging="270"/>
        <w:rPr>
          <w:rFonts w:ascii="Calibri" w:eastAsia="Times New Roman" w:hAnsi="Times New Roman" w:cs="Calibri"/>
          <w:kern w:val="24"/>
        </w:rPr>
      </w:pPr>
    </w:p>
    <w:p w14:paraId="5B23F68F" w14:textId="77777777" w:rsidR="00BB5A7C" w:rsidRDefault="00BB5A7C" w:rsidP="00BB5A7C">
      <w:pPr>
        <w:numPr>
          <w:ilvl w:val="0"/>
          <w:numId w:val="1"/>
        </w:numPr>
        <w:autoSpaceDE w:val="0"/>
        <w:autoSpaceDN w:val="0"/>
        <w:adjustRightInd w:val="0"/>
        <w:spacing w:after="0" w:line="240" w:lineRule="auto"/>
        <w:ind w:left="270" w:hanging="270"/>
        <w:rPr>
          <w:rFonts w:ascii="Calibri" w:eastAsia="Times New Roman" w:hAnsi="Times New Roman" w:cs="Calibri"/>
          <w:kern w:val="24"/>
        </w:rPr>
      </w:pPr>
      <w:r>
        <w:rPr>
          <w:rFonts w:ascii="Calibri" w:eastAsia="Times New Roman" w:hAnsi="Times New Roman" w:cs="Calibri"/>
          <w:kern w:val="24"/>
        </w:rPr>
        <w:t xml:space="preserve">Fourth: Also starting on July 1 of this year, </w:t>
      </w:r>
      <w:r>
        <w:rPr>
          <w:rFonts w:ascii="Calibri" w:eastAsia="Times New Roman" w:hAnsi="Times New Roman" w:cs="Calibri"/>
          <w:b/>
          <w:bCs/>
          <w:kern w:val="24"/>
        </w:rPr>
        <w:t>2026</w:t>
      </w:r>
      <w:r>
        <w:rPr>
          <w:rFonts w:ascii="Calibri" w:eastAsia="Times New Roman" w:hAnsi="Times New Roman" w:cs="Calibri"/>
          <w:kern w:val="24"/>
        </w:rPr>
        <w:t>, Settlement agents will need to exercise reasonable care in ascertaining the seller of the property. This could include using the identity verification processes that the notary uses, requiring multiple forms of identification, getting a written statement from the seller</w:t>
      </w:r>
      <w:r>
        <w:rPr>
          <w:rFonts w:ascii="Calibri" w:eastAsia="Times New Roman" w:hAnsi="Times New Roman" w:cs="Calibri"/>
          <w:kern w:val="24"/>
        </w:rPr>
        <w:t>’</w:t>
      </w:r>
      <w:r>
        <w:rPr>
          <w:rFonts w:ascii="Calibri" w:eastAsia="Times New Roman" w:hAnsi="Times New Roman" w:cs="Calibri"/>
          <w:kern w:val="24"/>
        </w:rPr>
        <w:t xml:space="preserve">s attorney, reviewing land records, comparing signatures, performing a credit check, or asking detailed questions about the subject property. </w:t>
      </w:r>
    </w:p>
    <w:p w14:paraId="0DB6C5C9" w14:textId="77777777" w:rsidR="00BB5A7C" w:rsidRDefault="00BB5A7C" w:rsidP="00BB5A7C">
      <w:pPr>
        <w:autoSpaceDE w:val="0"/>
        <w:autoSpaceDN w:val="0"/>
        <w:adjustRightInd w:val="0"/>
        <w:spacing w:after="0" w:line="240" w:lineRule="auto"/>
        <w:ind w:left="270" w:hanging="270"/>
        <w:rPr>
          <w:rFonts w:ascii="Calibri" w:eastAsia="Times New Roman" w:hAnsi="Times New Roman" w:cs="Calibri"/>
          <w:kern w:val="24"/>
        </w:rPr>
      </w:pPr>
    </w:p>
    <w:p w14:paraId="37CE70D5"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eastAsia="Times New Roman" w:hAnsi="Times New Roman" w:cs="Calibri"/>
          <w:kern w:val="24"/>
        </w:rPr>
        <w:t>What</w:t>
      </w:r>
      <w:r>
        <w:rPr>
          <w:rFonts w:ascii="Calibri" w:eastAsia="Times New Roman" w:hAnsi="Times New Roman" w:cs="Calibri"/>
          <w:kern w:val="24"/>
        </w:rPr>
        <w:t>’</w:t>
      </w:r>
      <w:r>
        <w:rPr>
          <w:rFonts w:ascii="Calibri" w:eastAsia="Times New Roman" w:hAnsi="Times New Roman" w:cs="Calibri"/>
          <w:kern w:val="24"/>
        </w:rPr>
        <w:t xml:space="preserve">s the main thing you need to know? That the Commonwealth is taking steps to combat deed fraud and has given property owners with a mechanism where they can be alerted if anyone makes any liens or deed changes on their property. This will at least give them notice so they can </w:t>
      </w:r>
      <w:proofErr w:type="gramStart"/>
      <w:r>
        <w:rPr>
          <w:rFonts w:ascii="Calibri" w:eastAsia="Times New Roman" w:hAnsi="Times New Roman" w:cs="Calibri"/>
          <w:kern w:val="24"/>
        </w:rPr>
        <w:t>take action</w:t>
      </w:r>
      <w:proofErr w:type="gramEnd"/>
      <w:r>
        <w:rPr>
          <w:rFonts w:ascii="Calibri" w:eastAsia="Times New Roman" w:hAnsi="Times New Roman" w:cs="Calibri"/>
          <w:kern w:val="24"/>
        </w:rPr>
        <w:t xml:space="preserve"> rather than finding out later when it becomes much harder. </w:t>
      </w:r>
    </w:p>
    <w:p w14:paraId="05CB79CB" w14:textId="77777777" w:rsidR="00BB5A7C" w:rsidRDefault="00BB5A7C" w:rsidP="00BB5A7C">
      <w:pPr>
        <w:autoSpaceDE w:val="0"/>
        <w:autoSpaceDN w:val="0"/>
        <w:adjustRightInd w:val="0"/>
        <w:spacing w:after="0" w:line="240" w:lineRule="auto"/>
        <w:rPr>
          <w:rFonts w:ascii="Arial" w:hAnsi="Arial" w:cs="Arial"/>
          <w:kern w:val="0"/>
        </w:rPr>
      </w:pPr>
    </w:p>
    <w:p w14:paraId="7FE02299" w14:textId="77777777" w:rsidR="00BB5A7C" w:rsidRDefault="00BB5A7C" w:rsidP="00BB5A7C">
      <w:pPr>
        <w:spacing w:line="360" w:lineRule="auto"/>
      </w:pPr>
    </w:p>
    <w:p w14:paraId="1E6EA5E2" w14:textId="15DEA44C" w:rsidR="00BB5A7C" w:rsidRDefault="00BB5A7C">
      <w:r>
        <w:br w:type="page"/>
      </w:r>
    </w:p>
    <w:p w14:paraId="1951BF3E" w14:textId="702279DF" w:rsidR="00BB5A7C" w:rsidRDefault="00BB5A7C" w:rsidP="00BB5A7C">
      <w:pPr>
        <w:spacing w:line="360" w:lineRule="auto"/>
      </w:pPr>
      <w:r>
        <w:lastRenderedPageBreak/>
        <w:t>Slide 3</w:t>
      </w:r>
    </w:p>
    <w:p w14:paraId="24C109BA" w14:textId="77777777" w:rsidR="00BB5A7C" w:rsidRDefault="00BB5A7C" w:rsidP="00BB5A7C">
      <w:pPr>
        <w:spacing w:line="360" w:lineRule="auto"/>
      </w:pPr>
    </w:p>
    <w:p w14:paraId="169381DC" w14:textId="284AA293" w:rsidR="00BB5A7C" w:rsidRDefault="00830822" w:rsidP="00BB5A7C">
      <w:pPr>
        <w:spacing w:line="360" w:lineRule="auto"/>
        <w:jc w:val="center"/>
      </w:pPr>
      <w:r>
        <w:rPr>
          <w:noProof/>
        </w:rPr>
        <w:drawing>
          <wp:inline distT="0" distB="0" distL="0" distR="0" wp14:anchorId="524BB52C" wp14:editId="5F086A1B">
            <wp:extent cx="4608286" cy="2592161"/>
            <wp:effectExtent l="0" t="0" r="1905" b="0"/>
            <wp:docPr id="523609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09142" name="Picture 5236091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6067" cy="2607788"/>
                    </a:xfrm>
                    <a:prstGeom prst="rect">
                      <a:avLst/>
                    </a:prstGeom>
                  </pic:spPr>
                </pic:pic>
              </a:graphicData>
            </a:graphic>
          </wp:inline>
        </w:drawing>
      </w:r>
    </w:p>
    <w:p w14:paraId="6630459D" w14:textId="77777777" w:rsidR="00BB5A7C" w:rsidRDefault="00BB5A7C" w:rsidP="00BB5A7C">
      <w:pPr>
        <w:spacing w:line="360" w:lineRule="auto"/>
        <w:jc w:val="center"/>
      </w:pPr>
    </w:p>
    <w:p w14:paraId="294AD6A5" w14:textId="77777777" w:rsidR="00BB5A7C" w:rsidRDefault="00BB5A7C" w:rsidP="00BB5A7C">
      <w:pPr>
        <w:autoSpaceDE w:val="0"/>
        <w:autoSpaceDN w:val="0"/>
        <w:adjustRightInd w:val="0"/>
        <w:spacing w:after="0" w:line="240" w:lineRule="auto"/>
        <w:rPr>
          <w:rFonts w:ascii="Calibri" w:hAnsi="Calibri" w:cs="Calibri"/>
          <w:b/>
          <w:bCs/>
          <w:kern w:val="24"/>
        </w:rPr>
      </w:pPr>
      <w:r>
        <w:rPr>
          <w:rFonts w:ascii="Calibri" w:hAnsi="Calibri" w:cs="Calibri"/>
          <w:b/>
          <w:bCs/>
          <w:kern w:val="24"/>
        </w:rPr>
        <w:t xml:space="preserve">Instructor: </w:t>
      </w:r>
    </w:p>
    <w:p w14:paraId="37193D7A" w14:textId="77777777" w:rsidR="00BB5A7C" w:rsidRDefault="00BB5A7C" w:rsidP="00BB5A7C">
      <w:pPr>
        <w:autoSpaceDE w:val="0"/>
        <w:autoSpaceDN w:val="0"/>
        <w:adjustRightInd w:val="0"/>
        <w:spacing w:after="0" w:line="240" w:lineRule="auto"/>
        <w:rPr>
          <w:rFonts w:ascii="Calibri" w:hAnsi="Calibri" w:cs="Calibri"/>
          <w:b/>
          <w:bCs/>
          <w:kern w:val="24"/>
        </w:rPr>
      </w:pPr>
    </w:p>
    <w:p w14:paraId="5E583A60"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 xml:space="preserve">This new law makes changes to the existing septic inspection law: </w:t>
      </w:r>
    </w:p>
    <w:p w14:paraId="79C45288" w14:textId="77777777" w:rsidR="00BB5A7C" w:rsidRDefault="00BB5A7C" w:rsidP="00BB5A7C">
      <w:pPr>
        <w:autoSpaceDE w:val="0"/>
        <w:autoSpaceDN w:val="0"/>
        <w:adjustRightInd w:val="0"/>
        <w:spacing w:after="0" w:line="240" w:lineRule="auto"/>
        <w:rPr>
          <w:rFonts w:ascii="Calibri" w:hAnsi="Calibri" w:cs="Calibri"/>
          <w:kern w:val="24"/>
        </w:rPr>
      </w:pPr>
    </w:p>
    <w:p w14:paraId="7B9F2D8E" w14:textId="77777777" w:rsidR="00BB5A7C" w:rsidRDefault="00BB5A7C" w:rsidP="00BB5A7C">
      <w:pPr>
        <w:numPr>
          <w:ilvl w:val="0"/>
          <w:numId w:val="2"/>
        </w:numPr>
        <w:autoSpaceDE w:val="0"/>
        <w:autoSpaceDN w:val="0"/>
        <w:adjustRightInd w:val="0"/>
        <w:spacing w:after="0" w:line="240" w:lineRule="auto"/>
        <w:ind w:left="360" w:hanging="360"/>
        <w:rPr>
          <w:rFonts w:ascii="Calibri" w:hAnsi="Calibri" w:cs="Calibri"/>
          <w:kern w:val="24"/>
        </w:rPr>
      </w:pPr>
      <w:r>
        <w:rPr>
          <w:rFonts w:ascii="Calibri" w:hAnsi="Calibri" w:cs="Calibri"/>
          <w:kern w:val="24"/>
        </w:rPr>
        <w:t xml:space="preserve">Defines “readily accessible” </w:t>
      </w:r>
      <w:r>
        <w:rPr>
          <w:rFonts w:ascii="Calibri" w:hAnsi="Calibri" w:cs="Calibri"/>
          <w:b/>
          <w:bCs/>
          <w:kern w:val="24"/>
        </w:rPr>
        <w:t>as digging no more than 30 inches</w:t>
      </w:r>
      <w:r>
        <w:rPr>
          <w:rFonts w:ascii="Calibri" w:hAnsi="Calibri" w:cs="Calibri"/>
          <w:kern w:val="24"/>
        </w:rPr>
        <w:t xml:space="preserve">. </w:t>
      </w:r>
    </w:p>
    <w:p w14:paraId="24A38E0F" w14:textId="77777777" w:rsidR="00BB5A7C" w:rsidRDefault="00BB5A7C" w:rsidP="00BB5A7C">
      <w:pPr>
        <w:numPr>
          <w:ilvl w:val="0"/>
          <w:numId w:val="2"/>
        </w:numPr>
        <w:autoSpaceDE w:val="0"/>
        <w:autoSpaceDN w:val="0"/>
        <w:adjustRightInd w:val="0"/>
        <w:spacing w:after="0" w:line="240" w:lineRule="auto"/>
        <w:ind w:left="360" w:hanging="360"/>
        <w:rPr>
          <w:rFonts w:ascii="Calibri" w:hAnsi="Calibri" w:cs="Calibri"/>
          <w:kern w:val="24"/>
        </w:rPr>
      </w:pPr>
      <w:r>
        <w:rPr>
          <w:rFonts w:ascii="Calibri" w:hAnsi="Calibri" w:cs="Calibri"/>
          <w:kern w:val="24"/>
        </w:rPr>
        <w:t>Clarified that the 10-day time limit to get your inspection report runs from the first day of the inspection, not the last day someone on the team comes out to the property.</w:t>
      </w:r>
    </w:p>
    <w:p w14:paraId="318D9776" w14:textId="77777777" w:rsidR="00BB5A7C" w:rsidRDefault="00BB5A7C" w:rsidP="00BB5A7C">
      <w:pPr>
        <w:numPr>
          <w:ilvl w:val="0"/>
          <w:numId w:val="2"/>
        </w:numPr>
        <w:autoSpaceDE w:val="0"/>
        <w:autoSpaceDN w:val="0"/>
        <w:adjustRightInd w:val="0"/>
        <w:spacing w:after="0" w:line="240" w:lineRule="auto"/>
        <w:ind w:left="360" w:hanging="360"/>
        <w:rPr>
          <w:rFonts w:ascii="Calibri" w:hAnsi="Calibri" w:cs="Calibri"/>
          <w:kern w:val="24"/>
        </w:rPr>
      </w:pPr>
      <w:r>
        <w:rPr>
          <w:rFonts w:ascii="Calibri" w:hAnsi="Calibri" w:cs="Calibri"/>
          <w:kern w:val="24"/>
        </w:rPr>
        <w:t xml:space="preserve">All septic reports should now indicate whether the system is operating as intended as of the date of the inspection. </w:t>
      </w:r>
    </w:p>
    <w:p w14:paraId="1FF864AF" w14:textId="77777777" w:rsidR="00BB5A7C" w:rsidRDefault="00BB5A7C" w:rsidP="00BB5A7C">
      <w:pPr>
        <w:numPr>
          <w:ilvl w:val="0"/>
          <w:numId w:val="2"/>
        </w:numPr>
        <w:autoSpaceDE w:val="0"/>
        <w:autoSpaceDN w:val="0"/>
        <w:adjustRightInd w:val="0"/>
        <w:spacing w:after="0" w:line="240" w:lineRule="auto"/>
        <w:ind w:left="360" w:hanging="360"/>
        <w:rPr>
          <w:rFonts w:ascii="Calibri" w:hAnsi="Calibri" w:cs="Calibri"/>
          <w:kern w:val="24"/>
        </w:rPr>
      </w:pPr>
      <w:r>
        <w:rPr>
          <w:rFonts w:ascii="Calibri" w:hAnsi="Calibri" w:cs="Calibri"/>
          <w:kern w:val="24"/>
        </w:rPr>
        <w:t xml:space="preserve">Removes the language requiring a septic inspection to report the advertised bedroom count as listed in the MLS or by statement of the property owner. They are now only required to report what is in the operation permit. </w:t>
      </w:r>
    </w:p>
    <w:p w14:paraId="173B46BF" w14:textId="77777777" w:rsidR="00BB5A7C" w:rsidRDefault="00BB5A7C" w:rsidP="00BB5A7C">
      <w:pPr>
        <w:autoSpaceDE w:val="0"/>
        <w:autoSpaceDN w:val="0"/>
        <w:adjustRightInd w:val="0"/>
        <w:spacing w:after="0" w:line="240" w:lineRule="auto"/>
        <w:rPr>
          <w:rFonts w:ascii="Arial" w:hAnsi="Arial" w:cs="Arial"/>
          <w:kern w:val="0"/>
        </w:rPr>
      </w:pPr>
    </w:p>
    <w:p w14:paraId="3BF75C72" w14:textId="77777777" w:rsidR="00BB5A7C" w:rsidRDefault="00BB5A7C" w:rsidP="00BB5A7C">
      <w:pPr>
        <w:spacing w:line="360" w:lineRule="auto"/>
      </w:pPr>
    </w:p>
    <w:p w14:paraId="7F5E0384" w14:textId="54B9CE85" w:rsidR="00BB5A7C" w:rsidRDefault="00BB5A7C">
      <w:r>
        <w:br w:type="page"/>
      </w:r>
    </w:p>
    <w:p w14:paraId="7734AFFC" w14:textId="3B50576D" w:rsidR="00BB5A7C" w:rsidRDefault="00BB5A7C" w:rsidP="00BB5A7C">
      <w:pPr>
        <w:spacing w:line="360" w:lineRule="auto"/>
      </w:pPr>
      <w:r>
        <w:lastRenderedPageBreak/>
        <w:t>Slide 4</w:t>
      </w:r>
    </w:p>
    <w:p w14:paraId="11AE22A5" w14:textId="77777777" w:rsidR="00BB5A7C" w:rsidRDefault="00BB5A7C" w:rsidP="00BB5A7C">
      <w:pPr>
        <w:spacing w:line="360" w:lineRule="auto"/>
      </w:pPr>
    </w:p>
    <w:p w14:paraId="5379F3C5" w14:textId="01286F69" w:rsidR="00BB5A7C" w:rsidRDefault="00830822" w:rsidP="00BB5A7C">
      <w:pPr>
        <w:spacing w:line="360" w:lineRule="auto"/>
        <w:jc w:val="center"/>
      </w:pPr>
      <w:r>
        <w:rPr>
          <w:noProof/>
        </w:rPr>
        <w:drawing>
          <wp:inline distT="0" distB="0" distL="0" distR="0" wp14:anchorId="0746BDAE" wp14:editId="20CC7746">
            <wp:extent cx="4434114" cy="2494189"/>
            <wp:effectExtent l="0" t="0" r="0" b="0"/>
            <wp:docPr id="601627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27893" name="Picture 6016278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6430" cy="2506742"/>
                    </a:xfrm>
                    <a:prstGeom prst="rect">
                      <a:avLst/>
                    </a:prstGeom>
                  </pic:spPr>
                </pic:pic>
              </a:graphicData>
            </a:graphic>
          </wp:inline>
        </w:drawing>
      </w:r>
    </w:p>
    <w:p w14:paraId="77645994" w14:textId="77777777" w:rsidR="00BB5A7C" w:rsidRDefault="00BB5A7C" w:rsidP="00BB5A7C">
      <w:pPr>
        <w:spacing w:line="360" w:lineRule="auto"/>
        <w:jc w:val="center"/>
      </w:pPr>
    </w:p>
    <w:p w14:paraId="21B1B5FB" w14:textId="77777777" w:rsidR="00BB5A7C" w:rsidRDefault="00BB5A7C" w:rsidP="00BB5A7C">
      <w:pPr>
        <w:autoSpaceDE w:val="0"/>
        <w:autoSpaceDN w:val="0"/>
        <w:adjustRightInd w:val="0"/>
        <w:spacing w:after="0" w:line="240" w:lineRule="auto"/>
        <w:rPr>
          <w:rFonts w:ascii="Times" w:eastAsia="Times New Roman" w:hAnsi="Times New Roman" w:cs="Times"/>
          <w:b/>
          <w:bCs/>
          <w:color w:val="333333"/>
          <w:kern w:val="24"/>
        </w:rPr>
      </w:pPr>
      <w:r>
        <w:rPr>
          <w:rFonts w:ascii="Calibri" w:hAnsi="Calibri" w:cs="Calibri"/>
          <w:b/>
          <w:bCs/>
          <w:color w:val="333333"/>
          <w:kern w:val="24"/>
        </w:rPr>
        <w:t xml:space="preserve">Instructor: </w:t>
      </w:r>
      <w:r>
        <w:rPr>
          <w:rFonts w:ascii="Calibri" w:hAnsi="Calibri" w:cs="Calibri"/>
          <w:color w:val="333333"/>
          <w:kern w:val="24"/>
        </w:rPr>
        <w:t xml:space="preserve">This new law builds on a law Virginia REALTORS® worked on several years ago with respect to restrictive covenants – 55.1-300.1. There is still land in Virginia with recorded restrictive covenants that discriminate against protected classes. Several years </w:t>
      </w:r>
      <w:proofErr w:type="gramStart"/>
      <w:r>
        <w:rPr>
          <w:rFonts w:ascii="Calibri" w:hAnsi="Calibri" w:cs="Calibri"/>
          <w:color w:val="333333"/>
          <w:kern w:val="24"/>
        </w:rPr>
        <w:t>ago</w:t>
      </w:r>
      <w:proofErr w:type="gramEnd"/>
      <w:r>
        <w:rPr>
          <w:rFonts w:ascii="Calibri" w:hAnsi="Calibri" w:cs="Calibri"/>
          <w:color w:val="333333"/>
          <w:kern w:val="24"/>
        </w:rPr>
        <w:t xml:space="preserve"> Virginia REALTORS® passed a law that made any such restrictive covenant null and void and set up a process for property owners to have those covenants removed from the record. However, not many people knew about the law. Now, settlement agents who find these restrictive covenants during title searches, will have to notify the client at settlement and make them aware of the process to have the covenant removed if they so choose. </w:t>
      </w:r>
    </w:p>
    <w:p w14:paraId="399F27B0" w14:textId="77777777" w:rsidR="00BB5A7C" w:rsidRDefault="00BB5A7C" w:rsidP="00BB5A7C">
      <w:pPr>
        <w:autoSpaceDE w:val="0"/>
        <w:autoSpaceDN w:val="0"/>
        <w:adjustRightInd w:val="0"/>
        <w:spacing w:after="0" w:line="240" w:lineRule="auto"/>
        <w:rPr>
          <w:rFonts w:ascii="Arial" w:hAnsi="Arial" w:cs="Arial"/>
          <w:kern w:val="0"/>
        </w:rPr>
      </w:pPr>
    </w:p>
    <w:p w14:paraId="6B5F87AB" w14:textId="77777777" w:rsidR="00BB5A7C" w:rsidRDefault="00BB5A7C" w:rsidP="00BB5A7C">
      <w:pPr>
        <w:spacing w:line="360" w:lineRule="auto"/>
      </w:pPr>
    </w:p>
    <w:p w14:paraId="7D9D3EF6" w14:textId="14855E54" w:rsidR="00BB5A7C" w:rsidRDefault="00BB5A7C">
      <w:r>
        <w:br w:type="page"/>
      </w:r>
    </w:p>
    <w:p w14:paraId="5B8072D6" w14:textId="69C27007" w:rsidR="00BB5A7C" w:rsidRDefault="00BB5A7C" w:rsidP="00BB5A7C">
      <w:pPr>
        <w:spacing w:line="360" w:lineRule="auto"/>
      </w:pPr>
      <w:r>
        <w:lastRenderedPageBreak/>
        <w:t>Slide 5</w:t>
      </w:r>
    </w:p>
    <w:p w14:paraId="2ADBC345" w14:textId="77777777" w:rsidR="00BB5A7C" w:rsidRDefault="00BB5A7C" w:rsidP="00BB5A7C">
      <w:pPr>
        <w:spacing w:line="360" w:lineRule="auto"/>
      </w:pPr>
    </w:p>
    <w:p w14:paraId="41541999" w14:textId="536821DE" w:rsidR="00BB5A7C" w:rsidRDefault="00830822" w:rsidP="00BB5A7C">
      <w:pPr>
        <w:spacing w:line="360" w:lineRule="auto"/>
        <w:jc w:val="center"/>
      </w:pPr>
      <w:r>
        <w:rPr>
          <w:noProof/>
        </w:rPr>
        <w:drawing>
          <wp:inline distT="0" distB="0" distL="0" distR="0" wp14:anchorId="5CE823F4" wp14:editId="1FE49FA0">
            <wp:extent cx="4659086" cy="2620736"/>
            <wp:effectExtent l="0" t="0" r="1905" b="0"/>
            <wp:docPr id="1028319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9181" name="Picture 10283191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0175" cy="2638224"/>
                    </a:xfrm>
                    <a:prstGeom prst="rect">
                      <a:avLst/>
                    </a:prstGeom>
                  </pic:spPr>
                </pic:pic>
              </a:graphicData>
            </a:graphic>
          </wp:inline>
        </w:drawing>
      </w:r>
    </w:p>
    <w:p w14:paraId="76E979B5" w14:textId="77777777" w:rsidR="00BB5A7C" w:rsidRDefault="00BB5A7C" w:rsidP="00BB5A7C">
      <w:pPr>
        <w:spacing w:line="360" w:lineRule="auto"/>
        <w:jc w:val="center"/>
      </w:pPr>
    </w:p>
    <w:p w14:paraId="7019F964"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b/>
          <w:bCs/>
          <w:kern w:val="24"/>
        </w:rPr>
        <w:t xml:space="preserve">Instructor: </w:t>
      </w:r>
      <w:r>
        <w:rPr>
          <w:rFonts w:ascii="Calibri" w:hAnsi="Calibri" w:cs="Calibri"/>
          <w:kern w:val="24"/>
        </w:rPr>
        <w:t xml:space="preserve">We’re going to talk about a few changes on the residential property disclosure act and buyer beware. </w:t>
      </w:r>
    </w:p>
    <w:p w14:paraId="2F81531C" w14:textId="77777777" w:rsidR="00BB5A7C" w:rsidRDefault="00BB5A7C" w:rsidP="00BB5A7C">
      <w:pPr>
        <w:autoSpaceDE w:val="0"/>
        <w:autoSpaceDN w:val="0"/>
        <w:adjustRightInd w:val="0"/>
        <w:spacing w:after="0" w:line="240" w:lineRule="auto"/>
        <w:rPr>
          <w:rFonts w:ascii="Calibri" w:hAnsi="Calibri" w:cs="Calibri"/>
          <w:kern w:val="24"/>
        </w:rPr>
      </w:pPr>
    </w:p>
    <w:p w14:paraId="0F5E34AA"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 xml:space="preserve">Starting July 1, </w:t>
      </w:r>
      <w:proofErr w:type="gramStart"/>
      <w:r>
        <w:rPr>
          <w:rFonts w:ascii="Calibri" w:hAnsi="Calibri" w:cs="Calibri"/>
          <w:kern w:val="24"/>
        </w:rPr>
        <w:t>2026</w:t>
      </w:r>
      <w:proofErr w:type="gramEnd"/>
      <w:r>
        <w:rPr>
          <w:rFonts w:ascii="Calibri" w:hAnsi="Calibri" w:cs="Calibri"/>
          <w:kern w:val="24"/>
        </w:rPr>
        <w:t xml:space="preserve"> the VRPDA disclosure form will now include a statement that a buyer should do their own due diligence to determine a property’s proximity to any military ground installation and whether that property may be impacted by noise or other effects of military operations. This idea came from Fort Belvoir which I guess is getting some noise complaints from the surrounding communities. </w:t>
      </w:r>
    </w:p>
    <w:p w14:paraId="2C1708EB" w14:textId="77777777" w:rsidR="00BB5A7C" w:rsidRDefault="00BB5A7C" w:rsidP="00BB5A7C">
      <w:pPr>
        <w:autoSpaceDE w:val="0"/>
        <w:autoSpaceDN w:val="0"/>
        <w:adjustRightInd w:val="0"/>
        <w:spacing w:after="0" w:line="240" w:lineRule="auto"/>
        <w:rPr>
          <w:rFonts w:ascii="Calibri" w:hAnsi="Calibri" w:cs="Calibri"/>
          <w:kern w:val="24"/>
        </w:rPr>
      </w:pPr>
    </w:p>
    <w:p w14:paraId="0ABDEAD4" w14:textId="77777777" w:rsidR="00BB5A7C" w:rsidRDefault="00BB5A7C" w:rsidP="00BB5A7C">
      <w:pPr>
        <w:autoSpaceDE w:val="0"/>
        <w:autoSpaceDN w:val="0"/>
        <w:adjustRightInd w:val="0"/>
        <w:spacing w:after="0" w:line="240" w:lineRule="auto"/>
        <w:rPr>
          <w:rFonts w:ascii="Calibri" w:hAnsi="Calibri" w:cs="Calibri"/>
          <w:b/>
          <w:bCs/>
          <w:i/>
          <w:iCs/>
          <w:kern w:val="24"/>
        </w:rPr>
      </w:pPr>
      <w:r>
        <w:rPr>
          <w:rFonts w:ascii="Calibri" w:hAnsi="Calibri" w:cs="Calibri"/>
          <w:b/>
          <w:bCs/>
          <w:i/>
          <w:iCs/>
          <w:kern w:val="24"/>
        </w:rPr>
        <w:t xml:space="preserve">**Instructor Note: this is different than the mandatory military air installation disclosure, that mandatory disclosure still exists. </w:t>
      </w:r>
    </w:p>
    <w:p w14:paraId="32E6771F" w14:textId="77777777" w:rsidR="00BB5A7C" w:rsidRDefault="00BB5A7C" w:rsidP="00BB5A7C">
      <w:pPr>
        <w:autoSpaceDE w:val="0"/>
        <w:autoSpaceDN w:val="0"/>
        <w:adjustRightInd w:val="0"/>
        <w:spacing w:after="0" w:line="240" w:lineRule="auto"/>
        <w:rPr>
          <w:rFonts w:ascii="Calibri" w:hAnsi="Calibri" w:cs="Calibri"/>
          <w:b/>
          <w:bCs/>
          <w:kern w:val="24"/>
        </w:rPr>
      </w:pPr>
    </w:p>
    <w:p w14:paraId="4E74AB44" w14:textId="77777777" w:rsidR="00BB5A7C" w:rsidRDefault="00BB5A7C" w:rsidP="00BB5A7C">
      <w:pPr>
        <w:autoSpaceDE w:val="0"/>
        <w:autoSpaceDN w:val="0"/>
        <w:adjustRightInd w:val="0"/>
        <w:spacing w:after="0" w:line="240" w:lineRule="auto"/>
        <w:rPr>
          <w:rFonts w:ascii="Arial" w:hAnsi="Arial" w:cs="Arial"/>
          <w:kern w:val="0"/>
        </w:rPr>
      </w:pPr>
    </w:p>
    <w:p w14:paraId="6DED24CE" w14:textId="77777777" w:rsidR="00BB5A7C" w:rsidRDefault="00BB5A7C" w:rsidP="00BB5A7C">
      <w:pPr>
        <w:spacing w:line="360" w:lineRule="auto"/>
      </w:pPr>
    </w:p>
    <w:p w14:paraId="3D544796" w14:textId="654B148A" w:rsidR="00BB5A7C" w:rsidRDefault="00BB5A7C">
      <w:r>
        <w:br w:type="page"/>
      </w:r>
    </w:p>
    <w:p w14:paraId="0C5FE42D" w14:textId="55C1575B" w:rsidR="00BB5A7C" w:rsidRDefault="00BB5A7C" w:rsidP="00BB5A7C">
      <w:pPr>
        <w:spacing w:line="360" w:lineRule="auto"/>
      </w:pPr>
      <w:r>
        <w:lastRenderedPageBreak/>
        <w:t>Slide 6</w:t>
      </w:r>
    </w:p>
    <w:p w14:paraId="5EEAF0F5" w14:textId="77777777" w:rsidR="00BB5A7C" w:rsidRDefault="00BB5A7C" w:rsidP="00BB5A7C">
      <w:pPr>
        <w:spacing w:line="360" w:lineRule="auto"/>
      </w:pPr>
    </w:p>
    <w:p w14:paraId="611DF12C" w14:textId="2BAF3CAD" w:rsidR="00BB5A7C" w:rsidRDefault="00830822" w:rsidP="00BB5A7C">
      <w:pPr>
        <w:spacing w:line="360" w:lineRule="auto"/>
        <w:jc w:val="center"/>
      </w:pPr>
      <w:r>
        <w:rPr>
          <w:noProof/>
        </w:rPr>
        <w:drawing>
          <wp:inline distT="0" distB="0" distL="0" distR="0" wp14:anchorId="7CB78173" wp14:editId="4776493E">
            <wp:extent cx="4386943" cy="2467655"/>
            <wp:effectExtent l="0" t="0" r="0" b="0"/>
            <wp:docPr id="550625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25044" name="Picture 5506250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8110" cy="2479561"/>
                    </a:xfrm>
                    <a:prstGeom prst="rect">
                      <a:avLst/>
                    </a:prstGeom>
                  </pic:spPr>
                </pic:pic>
              </a:graphicData>
            </a:graphic>
          </wp:inline>
        </w:drawing>
      </w:r>
    </w:p>
    <w:p w14:paraId="107ECDD3" w14:textId="77777777" w:rsidR="00BB5A7C" w:rsidRDefault="00BB5A7C" w:rsidP="00BB5A7C">
      <w:pPr>
        <w:spacing w:line="360" w:lineRule="auto"/>
        <w:jc w:val="center"/>
      </w:pPr>
    </w:p>
    <w:p w14:paraId="3CA23F34" w14:textId="77777777" w:rsidR="00BB5A7C" w:rsidRDefault="00BB5A7C" w:rsidP="00BB5A7C">
      <w:pPr>
        <w:autoSpaceDE w:val="0"/>
        <w:autoSpaceDN w:val="0"/>
        <w:adjustRightInd w:val="0"/>
        <w:spacing w:after="0" w:line="240" w:lineRule="auto"/>
        <w:rPr>
          <w:rFonts w:ascii="Calibri" w:hAnsi="Calibri" w:cs="Calibri"/>
          <w:b/>
          <w:bCs/>
          <w:kern w:val="24"/>
        </w:rPr>
      </w:pPr>
      <w:r>
        <w:rPr>
          <w:rFonts w:ascii="Calibri" w:hAnsi="Calibri" w:cs="Calibri"/>
          <w:b/>
          <w:bCs/>
          <w:kern w:val="24"/>
        </w:rPr>
        <w:t xml:space="preserve">Instructor: </w:t>
      </w:r>
    </w:p>
    <w:p w14:paraId="375F78AB" w14:textId="77777777" w:rsidR="00BB5A7C" w:rsidRDefault="00BB5A7C" w:rsidP="00BB5A7C">
      <w:pPr>
        <w:autoSpaceDE w:val="0"/>
        <w:autoSpaceDN w:val="0"/>
        <w:adjustRightInd w:val="0"/>
        <w:spacing w:after="0" w:line="240" w:lineRule="auto"/>
        <w:rPr>
          <w:rFonts w:ascii="Calibri" w:hAnsi="Calibri" w:cs="Calibri"/>
          <w:b/>
          <w:bCs/>
          <w:kern w:val="24"/>
        </w:rPr>
      </w:pPr>
    </w:p>
    <w:p w14:paraId="64A51C99" w14:textId="77777777" w:rsidR="00BB5A7C" w:rsidRDefault="00BB5A7C" w:rsidP="00BB5A7C">
      <w:pPr>
        <w:autoSpaceDE w:val="0"/>
        <w:autoSpaceDN w:val="0"/>
        <w:adjustRightInd w:val="0"/>
        <w:spacing w:after="0" w:line="240" w:lineRule="auto"/>
        <w:rPr>
          <w:rFonts w:ascii="Calibri" w:hAnsi="Calibri" w:cs="Calibri"/>
          <w:b/>
          <w:bCs/>
          <w:kern w:val="24"/>
        </w:rPr>
      </w:pPr>
      <w:r>
        <w:rPr>
          <w:rFonts w:ascii="Calibri" w:hAnsi="Calibri" w:cs="Calibri"/>
          <w:kern w:val="24"/>
        </w:rPr>
        <w:t xml:space="preserve">The second change to the buyer beware statement language will be added urging the buyer to do their due diligence as to whether a property </w:t>
      </w:r>
      <w:proofErr w:type="gramStart"/>
      <w:r>
        <w:rPr>
          <w:rFonts w:ascii="Calibri" w:hAnsi="Calibri" w:cs="Calibri"/>
          <w:kern w:val="24"/>
        </w:rPr>
        <w:t>is located in</w:t>
      </w:r>
      <w:proofErr w:type="gramEnd"/>
      <w:r>
        <w:rPr>
          <w:rFonts w:ascii="Calibri" w:hAnsi="Calibri" w:cs="Calibri"/>
          <w:kern w:val="24"/>
        </w:rPr>
        <w:t xml:space="preserve"> a locality that has adopted a land-use plan that may provide use value assessment and taxation for real estate classified in § </w:t>
      </w:r>
      <w:r>
        <w:rPr>
          <w:rFonts w:ascii="Calibri" w:hAnsi="Calibri" w:cs="Calibri"/>
          <w:kern w:val="24"/>
          <w:u w:val="single"/>
        </w:rPr>
        <w:t>58.1-3230</w:t>
      </w:r>
      <w:r>
        <w:rPr>
          <w:rFonts w:ascii="Calibri" w:hAnsi="Calibri" w:cs="Calibri"/>
          <w:kern w:val="24"/>
        </w:rPr>
        <w:t xml:space="preserve">. When real estate, or a parcel of such real estate, qualifies for special assessment and taxation </w:t>
      </w:r>
      <w:proofErr w:type="gramStart"/>
      <w:r>
        <w:rPr>
          <w:rFonts w:ascii="Calibri" w:hAnsi="Calibri" w:cs="Calibri"/>
          <w:kern w:val="24"/>
        </w:rPr>
        <w:t>on the basis of</w:t>
      </w:r>
      <w:proofErr w:type="gramEnd"/>
      <w:r>
        <w:rPr>
          <w:rFonts w:ascii="Calibri" w:hAnsi="Calibri" w:cs="Calibri"/>
          <w:kern w:val="24"/>
        </w:rPr>
        <w:t xml:space="preserve"> use, and the use or zoning of the real estate changes to a nonqualifying use or zoning, the real estate may be subject to roll-back taxes and interest. IF that happens, and it has not been previously negotiated in the sales contract, the buyer will be responsible for paying </w:t>
      </w:r>
      <w:proofErr w:type="gramStart"/>
      <w:r>
        <w:rPr>
          <w:rFonts w:ascii="Calibri" w:hAnsi="Calibri" w:cs="Calibri"/>
          <w:kern w:val="24"/>
        </w:rPr>
        <w:t>all of</w:t>
      </w:r>
      <w:proofErr w:type="gramEnd"/>
      <w:r>
        <w:rPr>
          <w:rFonts w:ascii="Calibri" w:hAnsi="Calibri" w:cs="Calibri"/>
          <w:kern w:val="24"/>
        </w:rPr>
        <w:t xml:space="preserve"> those rollback taxes. Buyers can research this with the commissioner of the revenue or assessor in the locality where the property is located. </w:t>
      </w:r>
    </w:p>
    <w:p w14:paraId="2D4709AD" w14:textId="77777777" w:rsidR="00BB5A7C" w:rsidRDefault="00BB5A7C" w:rsidP="00BB5A7C">
      <w:pPr>
        <w:autoSpaceDE w:val="0"/>
        <w:autoSpaceDN w:val="0"/>
        <w:adjustRightInd w:val="0"/>
        <w:spacing w:after="0" w:line="240" w:lineRule="auto"/>
        <w:rPr>
          <w:rFonts w:ascii="Calibri" w:hAnsi="Calibri" w:cs="Calibri"/>
          <w:b/>
          <w:bCs/>
          <w:kern w:val="24"/>
        </w:rPr>
      </w:pPr>
    </w:p>
    <w:p w14:paraId="194B0180" w14:textId="77777777" w:rsidR="00BB5A7C" w:rsidRDefault="00BB5A7C" w:rsidP="00BB5A7C">
      <w:pPr>
        <w:autoSpaceDE w:val="0"/>
        <w:autoSpaceDN w:val="0"/>
        <w:adjustRightInd w:val="0"/>
        <w:spacing w:after="0" w:line="240" w:lineRule="auto"/>
        <w:rPr>
          <w:rFonts w:ascii="Arial" w:hAnsi="Arial" w:cs="Arial"/>
          <w:kern w:val="0"/>
        </w:rPr>
      </w:pPr>
    </w:p>
    <w:p w14:paraId="13E32FC8" w14:textId="77777777" w:rsidR="00BB5A7C" w:rsidRDefault="00BB5A7C" w:rsidP="00BB5A7C">
      <w:pPr>
        <w:spacing w:line="360" w:lineRule="auto"/>
      </w:pPr>
    </w:p>
    <w:p w14:paraId="2DF18E4F" w14:textId="26ED3ADA" w:rsidR="00BB5A7C" w:rsidRDefault="00BB5A7C">
      <w:r>
        <w:br w:type="page"/>
      </w:r>
    </w:p>
    <w:p w14:paraId="75F781FA" w14:textId="33424A48" w:rsidR="00BB5A7C" w:rsidRDefault="00BB5A7C" w:rsidP="00BB5A7C">
      <w:pPr>
        <w:spacing w:line="360" w:lineRule="auto"/>
      </w:pPr>
      <w:r>
        <w:lastRenderedPageBreak/>
        <w:t>Slide 7</w:t>
      </w:r>
    </w:p>
    <w:p w14:paraId="5BAC0DAB" w14:textId="77777777" w:rsidR="00BB5A7C" w:rsidRDefault="00BB5A7C" w:rsidP="00BB5A7C">
      <w:pPr>
        <w:spacing w:line="360" w:lineRule="auto"/>
      </w:pPr>
    </w:p>
    <w:p w14:paraId="62A843D4" w14:textId="5785F8F3" w:rsidR="00BB5A7C" w:rsidRDefault="00830822" w:rsidP="00BB5A7C">
      <w:pPr>
        <w:spacing w:line="360" w:lineRule="auto"/>
        <w:jc w:val="center"/>
      </w:pPr>
      <w:r>
        <w:rPr>
          <w:noProof/>
        </w:rPr>
        <w:drawing>
          <wp:inline distT="0" distB="0" distL="0" distR="0" wp14:anchorId="49AC69FA" wp14:editId="7229C4F8">
            <wp:extent cx="4354286" cy="2449286"/>
            <wp:effectExtent l="0" t="0" r="1905" b="1905"/>
            <wp:docPr id="1476674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4972" name="Picture 14766749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0441" cy="2458373"/>
                    </a:xfrm>
                    <a:prstGeom prst="rect">
                      <a:avLst/>
                    </a:prstGeom>
                  </pic:spPr>
                </pic:pic>
              </a:graphicData>
            </a:graphic>
          </wp:inline>
        </w:drawing>
      </w:r>
    </w:p>
    <w:p w14:paraId="41099A02" w14:textId="77777777" w:rsidR="00BB5A7C" w:rsidRDefault="00BB5A7C" w:rsidP="00BB5A7C">
      <w:pPr>
        <w:spacing w:line="360" w:lineRule="auto"/>
        <w:jc w:val="center"/>
      </w:pPr>
    </w:p>
    <w:p w14:paraId="46180BFD" w14:textId="77777777" w:rsidR="00BB5A7C" w:rsidRDefault="00BB5A7C" w:rsidP="00BB5A7C">
      <w:pPr>
        <w:autoSpaceDE w:val="0"/>
        <w:autoSpaceDN w:val="0"/>
        <w:adjustRightInd w:val="0"/>
        <w:spacing w:after="0" w:line="240" w:lineRule="auto"/>
        <w:rPr>
          <w:rFonts w:ascii="Calibri" w:eastAsia="Times New Roman" w:hAnsi="Times New Roman" w:cs="Calibri"/>
          <w:kern w:val="24"/>
          <w:sz w:val="40"/>
          <w:szCs w:val="40"/>
        </w:rPr>
      </w:pPr>
      <w:r>
        <w:rPr>
          <w:rFonts w:ascii="Calibri" w:hAnsi="Calibri" w:cs="Calibri"/>
          <w:b/>
          <w:bCs/>
          <w:kern w:val="24"/>
        </w:rPr>
        <w:t xml:space="preserve">Instructor: </w:t>
      </w:r>
    </w:p>
    <w:p w14:paraId="2390C872" w14:textId="77777777" w:rsidR="00BB5A7C" w:rsidRDefault="00BB5A7C" w:rsidP="00BB5A7C">
      <w:pPr>
        <w:autoSpaceDE w:val="0"/>
        <w:autoSpaceDN w:val="0"/>
        <w:adjustRightInd w:val="0"/>
        <w:spacing w:after="0" w:line="240" w:lineRule="auto"/>
        <w:rPr>
          <w:rFonts w:ascii="Calibri" w:eastAsia="Times New Roman" w:hAnsi="Times New Roman" w:cs="Calibri"/>
          <w:kern w:val="24"/>
          <w:sz w:val="40"/>
          <w:szCs w:val="40"/>
        </w:rPr>
      </w:pPr>
    </w:p>
    <w:p w14:paraId="04668799"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eastAsia="Times New Roman" w:hAnsi="Times New Roman" w:cs="Calibri"/>
          <w:kern w:val="24"/>
          <w:sz w:val="40"/>
          <w:szCs w:val="40"/>
        </w:rPr>
        <w:t xml:space="preserve">This law is effective on 7/1/26. The </w:t>
      </w:r>
      <w:proofErr w:type="gramStart"/>
      <w:r>
        <w:rPr>
          <w:rFonts w:ascii="Calibri" w:eastAsia="Times New Roman" w:hAnsi="Times New Roman" w:cs="Calibri"/>
          <w:kern w:val="24"/>
          <w:sz w:val="40"/>
          <w:szCs w:val="40"/>
        </w:rPr>
        <w:t>time period</w:t>
      </w:r>
      <w:proofErr w:type="gramEnd"/>
      <w:r>
        <w:rPr>
          <w:rFonts w:ascii="Calibri" w:eastAsia="Times New Roman" w:hAnsi="Times New Roman" w:cs="Calibri"/>
          <w:kern w:val="24"/>
          <w:sz w:val="40"/>
          <w:szCs w:val="40"/>
        </w:rPr>
        <w:t xml:space="preserve"> for a material non-compliance for nonpayment of rent is now 14 days. What does this mean? It means the law now states: </w:t>
      </w:r>
      <w:r>
        <w:rPr>
          <w:rFonts w:ascii="Calibri" w:eastAsia="Times New Roman" w:hAnsi="Times New Roman" w:cs="Calibri"/>
          <w:kern w:val="24"/>
          <w:sz w:val="40"/>
          <w:szCs w:val="40"/>
        </w:rPr>
        <w:t>“</w:t>
      </w:r>
      <w:r>
        <w:rPr>
          <w:rFonts w:ascii="Calibri" w:hAnsi="Calibri" w:cs="Calibri"/>
          <w:kern w:val="24"/>
        </w:rPr>
        <w:t>If rent is unpaid when due, and the tenant fails to pay rent within </w:t>
      </w:r>
      <w:r>
        <w:rPr>
          <w:rFonts w:ascii="Calibri" w:hAnsi="Calibri" w:cs="Calibri"/>
          <w:strike/>
          <w:kern w:val="24"/>
        </w:rPr>
        <w:t>five</w:t>
      </w:r>
      <w:r>
        <w:rPr>
          <w:rFonts w:ascii="Calibri" w:hAnsi="Calibri" w:cs="Calibri"/>
          <w:i/>
          <w:iCs/>
          <w:kern w:val="24"/>
        </w:rPr>
        <w:t> 14</w:t>
      </w:r>
      <w:r>
        <w:rPr>
          <w:rFonts w:ascii="Calibri" w:hAnsi="Calibri" w:cs="Calibri"/>
          <w:kern w:val="24"/>
        </w:rPr>
        <w:t> days after written notice is served on him notifying the tenant of his nonpayment, and of the landlord's intention to terminate the rental agreement if the rent is not paid within the </w:t>
      </w:r>
      <w:r>
        <w:rPr>
          <w:rFonts w:ascii="Calibri" w:hAnsi="Calibri" w:cs="Calibri"/>
          <w:strike/>
          <w:kern w:val="24"/>
        </w:rPr>
        <w:t>five-day</w:t>
      </w:r>
      <w:r>
        <w:rPr>
          <w:rFonts w:ascii="Calibri" w:hAnsi="Calibri" w:cs="Calibri"/>
          <w:i/>
          <w:iCs/>
          <w:kern w:val="24"/>
        </w:rPr>
        <w:t> 14-day</w:t>
      </w:r>
      <w:r>
        <w:rPr>
          <w:rFonts w:ascii="Calibri" w:hAnsi="Calibri" w:cs="Calibri"/>
          <w:kern w:val="24"/>
        </w:rPr>
        <w:t> period, the landlord may terminate the rental agreement and proceed to obtain possession of the premises by filing an unlawful detainer.”</w:t>
      </w:r>
    </w:p>
    <w:p w14:paraId="6C6CA550" w14:textId="77777777" w:rsidR="00BB5A7C" w:rsidRDefault="00BB5A7C" w:rsidP="00BB5A7C">
      <w:pPr>
        <w:autoSpaceDE w:val="0"/>
        <w:autoSpaceDN w:val="0"/>
        <w:adjustRightInd w:val="0"/>
        <w:spacing w:after="0" w:line="240" w:lineRule="auto"/>
        <w:rPr>
          <w:rFonts w:ascii="Calibri" w:hAnsi="Calibri" w:cs="Calibri"/>
          <w:kern w:val="24"/>
        </w:rPr>
      </w:pPr>
    </w:p>
    <w:p w14:paraId="1F0ED8C3"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 xml:space="preserve">As we move forward with this, make sure to check your lease agreements for when rent is late and work from there. </w:t>
      </w:r>
    </w:p>
    <w:p w14:paraId="179E7D7F" w14:textId="77777777" w:rsidR="00BB5A7C" w:rsidRDefault="00BB5A7C" w:rsidP="00BB5A7C">
      <w:pPr>
        <w:autoSpaceDE w:val="0"/>
        <w:autoSpaceDN w:val="0"/>
        <w:adjustRightInd w:val="0"/>
        <w:spacing w:after="0" w:line="240" w:lineRule="auto"/>
        <w:rPr>
          <w:rFonts w:ascii="Calibri" w:hAnsi="Calibri" w:cs="Calibri"/>
          <w:kern w:val="24"/>
        </w:rPr>
      </w:pPr>
    </w:p>
    <w:p w14:paraId="36411DA5" w14:textId="77777777" w:rsidR="00BB5A7C" w:rsidRDefault="00BB5A7C" w:rsidP="00BB5A7C">
      <w:pPr>
        <w:autoSpaceDE w:val="0"/>
        <w:autoSpaceDN w:val="0"/>
        <w:adjustRightInd w:val="0"/>
        <w:spacing w:after="0" w:line="240" w:lineRule="auto"/>
        <w:rPr>
          <w:rFonts w:ascii="Calibri" w:hAnsi="Calibri" w:cs="Calibri"/>
          <w:b/>
          <w:bCs/>
          <w:i/>
          <w:iCs/>
          <w:kern w:val="24"/>
        </w:rPr>
      </w:pPr>
      <w:r>
        <w:rPr>
          <w:rFonts w:ascii="Calibri" w:hAnsi="Calibri" w:cs="Calibri"/>
          <w:b/>
          <w:bCs/>
          <w:i/>
          <w:iCs/>
          <w:kern w:val="24"/>
        </w:rPr>
        <w:t xml:space="preserve">**Instructor Note: We cannot make an industry wide standard of whether to use the </w:t>
      </w:r>
      <w:proofErr w:type="gramStart"/>
      <w:r>
        <w:rPr>
          <w:rFonts w:ascii="Calibri" w:hAnsi="Calibri" w:cs="Calibri"/>
          <w:b/>
          <w:bCs/>
          <w:i/>
          <w:iCs/>
          <w:kern w:val="24"/>
        </w:rPr>
        <w:t>5 day</w:t>
      </w:r>
      <w:proofErr w:type="gramEnd"/>
      <w:r>
        <w:rPr>
          <w:rFonts w:ascii="Calibri" w:hAnsi="Calibri" w:cs="Calibri"/>
          <w:b/>
          <w:bCs/>
          <w:i/>
          <w:iCs/>
          <w:kern w:val="24"/>
        </w:rPr>
        <w:t xml:space="preserve"> grace period or not. This is business decision. There is no requirement in the Code for a </w:t>
      </w:r>
      <w:proofErr w:type="gramStart"/>
      <w:r>
        <w:rPr>
          <w:rFonts w:ascii="Calibri" w:hAnsi="Calibri" w:cs="Calibri"/>
          <w:b/>
          <w:bCs/>
          <w:i/>
          <w:iCs/>
          <w:kern w:val="24"/>
        </w:rPr>
        <w:t>5 day</w:t>
      </w:r>
      <w:proofErr w:type="gramEnd"/>
      <w:r>
        <w:rPr>
          <w:rFonts w:ascii="Calibri" w:hAnsi="Calibri" w:cs="Calibri"/>
          <w:b/>
          <w:bCs/>
          <w:i/>
          <w:iCs/>
          <w:kern w:val="24"/>
        </w:rPr>
        <w:t xml:space="preserve"> grace period unless there is no written lease. </w:t>
      </w:r>
    </w:p>
    <w:p w14:paraId="7B1B18BB" w14:textId="77777777" w:rsidR="00BB5A7C" w:rsidRDefault="00BB5A7C" w:rsidP="00BB5A7C">
      <w:pPr>
        <w:autoSpaceDE w:val="0"/>
        <w:autoSpaceDN w:val="0"/>
        <w:adjustRightInd w:val="0"/>
        <w:spacing w:after="0" w:line="240" w:lineRule="auto"/>
        <w:rPr>
          <w:rFonts w:ascii="Calibri" w:hAnsi="Calibri" w:cs="Calibri"/>
          <w:kern w:val="24"/>
        </w:rPr>
      </w:pPr>
    </w:p>
    <w:p w14:paraId="5990BD4F" w14:textId="77777777" w:rsidR="00BB5A7C" w:rsidRDefault="00BB5A7C" w:rsidP="00BB5A7C">
      <w:pPr>
        <w:autoSpaceDE w:val="0"/>
        <w:autoSpaceDN w:val="0"/>
        <w:adjustRightInd w:val="0"/>
        <w:spacing w:after="0" w:line="240" w:lineRule="auto"/>
        <w:rPr>
          <w:rFonts w:ascii="Arial" w:hAnsi="Arial" w:cs="Arial"/>
          <w:kern w:val="0"/>
        </w:rPr>
      </w:pPr>
    </w:p>
    <w:p w14:paraId="6FCF0416" w14:textId="77777777" w:rsidR="00BB5A7C" w:rsidRDefault="00BB5A7C" w:rsidP="00BB5A7C">
      <w:pPr>
        <w:spacing w:line="360" w:lineRule="auto"/>
      </w:pPr>
    </w:p>
    <w:p w14:paraId="43DCAA01" w14:textId="0372CAC0" w:rsidR="00BB5A7C" w:rsidRDefault="00BB5A7C" w:rsidP="00BB5A7C">
      <w:pPr>
        <w:spacing w:line="360" w:lineRule="auto"/>
      </w:pPr>
      <w:r>
        <w:lastRenderedPageBreak/>
        <w:t>Slide 8</w:t>
      </w:r>
    </w:p>
    <w:p w14:paraId="4876933D" w14:textId="77777777" w:rsidR="00BB5A7C" w:rsidRDefault="00BB5A7C" w:rsidP="00BB5A7C">
      <w:pPr>
        <w:spacing w:line="360" w:lineRule="auto"/>
      </w:pPr>
    </w:p>
    <w:p w14:paraId="5147AF37" w14:textId="4FB66577" w:rsidR="00BB5A7C" w:rsidRDefault="00830822" w:rsidP="00BB5A7C">
      <w:pPr>
        <w:spacing w:line="360" w:lineRule="auto"/>
        <w:jc w:val="center"/>
      </w:pPr>
      <w:r>
        <w:rPr>
          <w:noProof/>
        </w:rPr>
        <w:drawing>
          <wp:inline distT="0" distB="0" distL="0" distR="0" wp14:anchorId="235F5F06" wp14:editId="645D80F9">
            <wp:extent cx="4472820" cy="2515961"/>
            <wp:effectExtent l="0" t="0" r="0" b="0"/>
            <wp:docPr id="539639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39027" name="Picture 539639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3943" cy="2527843"/>
                    </a:xfrm>
                    <a:prstGeom prst="rect">
                      <a:avLst/>
                    </a:prstGeom>
                  </pic:spPr>
                </pic:pic>
              </a:graphicData>
            </a:graphic>
          </wp:inline>
        </w:drawing>
      </w:r>
    </w:p>
    <w:p w14:paraId="67613640" w14:textId="77777777" w:rsidR="00BB5A7C" w:rsidRDefault="00BB5A7C" w:rsidP="00BB5A7C">
      <w:pPr>
        <w:spacing w:line="360" w:lineRule="auto"/>
        <w:jc w:val="center"/>
      </w:pPr>
    </w:p>
    <w:p w14:paraId="3F4DC69A" w14:textId="77777777" w:rsidR="00BB5A7C" w:rsidRDefault="00BB5A7C" w:rsidP="00BB5A7C">
      <w:pPr>
        <w:autoSpaceDE w:val="0"/>
        <w:autoSpaceDN w:val="0"/>
        <w:adjustRightInd w:val="0"/>
        <w:spacing w:after="0" w:line="240" w:lineRule="auto"/>
        <w:rPr>
          <w:rFonts w:ascii="Times" w:hAnsi="Times" w:cs="Times"/>
          <w:color w:val="333333"/>
          <w:kern w:val="24"/>
        </w:rPr>
      </w:pPr>
      <w:r>
        <w:rPr>
          <w:rFonts w:ascii="Calibri" w:hAnsi="Calibri" w:cs="Calibri"/>
          <w:b/>
          <w:bCs/>
          <w:kern w:val="24"/>
        </w:rPr>
        <w:t xml:space="preserve">Instructor: </w:t>
      </w:r>
      <w:r>
        <w:rPr>
          <w:rFonts w:ascii="Times" w:hAnsi="Times" w:cs="Times"/>
          <w:color w:val="333333"/>
          <w:kern w:val="24"/>
        </w:rPr>
        <w:t xml:space="preserve">Virginia REALTORS® did bring another early termination for military personnel bill to fix, hopefully the last contradiction between the Virginia Landlord Tenant Act and the Federal Servicemembers Civil Relief Act. </w:t>
      </w:r>
    </w:p>
    <w:p w14:paraId="25C8DDCF" w14:textId="77777777" w:rsidR="00BB5A7C" w:rsidRDefault="00BB5A7C" w:rsidP="00BB5A7C">
      <w:pPr>
        <w:autoSpaceDE w:val="0"/>
        <w:autoSpaceDN w:val="0"/>
        <w:adjustRightInd w:val="0"/>
        <w:spacing w:after="0" w:line="240" w:lineRule="auto"/>
        <w:rPr>
          <w:rFonts w:ascii="Times" w:hAnsi="Times" w:cs="Times"/>
          <w:color w:val="333333"/>
          <w:kern w:val="24"/>
        </w:rPr>
      </w:pPr>
    </w:p>
    <w:p w14:paraId="25F21C34" w14:textId="77777777" w:rsidR="00BB5A7C" w:rsidRDefault="00BB5A7C" w:rsidP="00BB5A7C">
      <w:pPr>
        <w:autoSpaceDE w:val="0"/>
        <w:autoSpaceDN w:val="0"/>
        <w:adjustRightInd w:val="0"/>
        <w:spacing w:after="0" w:line="240" w:lineRule="auto"/>
        <w:rPr>
          <w:rFonts w:ascii="Calibri" w:hAnsi="Calibri" w:cs="Calibri"/>
          <w:kern w:val="24"/>
        </w:rPr>
      </w:pPr>
      <w:r>
        <w:rPr>
          <w:rFonts w:ascii="Times" w:hAnsi="Times" w:cs="Times"/>
          <w:color w:val="333333"/>
          <w:kern w:val="24"/>
        </w:rPr>
        <w:t xml:space="preserve">Effective July 1, </w:t>
      </w:r>
      <w:proofErr w:type="gramStart"/>
      <w:r>
        <w:rPr>
          <w:rFonts w:ascii="Times" w:hAnsi="Times" w:cs="Times"/>
          <w:color w:val="333333"/>
          <w:kern w:val="24"/>
        </w:rPr>
        <w:t>2026</w:t>
      </w:r>
      <w:proofErr w:type="gramEnd"/>
      <w:r>
        <w:rPr>
          <w:rFonts w:ascii="Times" w:hAnsi="Times" w:cs="Times"/>
          <w:color w:val="333333"/>
          <w:kern w:val="24"/>
        </w:rPr>
        <w:t xml:space="preserve"> tenants who are terminating their leases early because of military order will not be limited to 60 days before their orders take effect to make that termination. This was not a limit that existed in the federal act, making ours effectively null and void.</w:t>
      </w:r>
    </w:p>
    <w:p w14:paraId="5430ADBD" w14:textId="77777777" w:rsidR="00BB5A7C" w:rsidRDefault="00BB5A7C" w:rsidP="00BB5A7C">
      <w:pPr>
        <w:autoSpaceDE w:val="0"/>
        <w:autoSpaceDN w:val="0"/>
        <w:adjustRightInd w:val="0"/>
        <w:spacing w:after="0" w:line="240" w:lineRule="auto"/>
        <w:rPr>
          <w:rFonts w:ascii="Arial" w:hAnsi="Arial" w:cs="Arial"/>
          <w:kern w:val="0"/>
        </w:rPr>
      </w:pPr>
    </w:p>
    <w:p w14:paraId="058CE4B9" w14:textId="77777777" w:rsidR="00BB5A7C" w:rsidRDefault="00BB5A7C" w:rsidP="00BB5A7C">
      <w:pPr>
        <w:spacing w:line="360" w:lineRule="auto"/>
      </w:pPr>
    </w:p>
    <w:p w14:paraId="7ACDCD0A" w14:textId="444003ED" w:rsidR="00BB5A7C" w:rsidRDefault="00BB5A7C">
      <w:r>
        <w:br w:type="page"/>
      </w:r>
    </w:p>
    <w:p w14:paraId="66E36859" w14:textId="3D270296" w:rsidR="00BB5A7C" w:rsidRDefault="00BB5A7C" w:rsidP="00BB5A7C">
      <w:pPr>
        <w:spacing w:line="360" w:lineRule="auto"/>
      </w:pPr>
      <w:r>
        <w:lastRenderedPageBreak/>
        <w:t>Slide 9</w:t>
      </w:r>
    </w:p>
    <w:p w14:paraId="03B5623A" w14:textId="77777777" w:rsidR="00BB5A7C" w:rsidRDefault="00BB5A7C" w:rsidP="00BB5A7C">
      <w:pPr>
        <w:spacing w:line="360" w:lineRule="auto"/>
      </w:pPr>
    </w:p>
    <w:p w14:paraId="0FD38EEA" w14:textId="160C189B" w:rsidR="00BB5A7C" w:rsidRDefault="00830822" w:rsidP="00BB5A7C">
      <w:pPr>
        <w:spacing w:line="360" w:lineRule="auto"/>
        <w:jc w:val="center"/>
      </w:pPr>
      <w:r>
        <w:rPr>
          <w:noProof/>
        </w:rPr>
        <w:drawing>
          <wp:inline distT="0" distB="0" distL="0" distR="0" wp14:anchorId="6918B465" wp14:editId="1488EFA0">
            <wp:extent cx="4434114" cy="2494189"/>
            <wp:effectExtent l="0" t="0" r="0" b="0"/>
            <wp:docPr id="1737794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94766" name="Picture 17377947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9035" cy="2508207"/>
                    </a:xfrm>
                    <a:prstGeom prst="rect">
                      <a:avLst/>
                    </a:prstGeom>
                  </pic:spPr>
                </pic:pic>
              </a:graphicData>
            </a:graphic>
          </wp:inline>
        </w:drawing>
      </w:r>
    </w:p>
    <w:p w14:paraId="184B84AB" w14:textId="77777777" w:rsidR="00BB5A7C" w:rsidRDefault="00BB5A7C" w:rsidP="00BB5A7C">
      <w:pPr>
        <w:spacing w:line="360" w:lineRule="auto"/>
        <w:jc w:val="center"/>
      </w:pPr>
    </w:p>
    <w:p w14:paraId="45EE2C8D"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hAnsi="Calibri" w:cs="Calibri"/>
          <w:b/>
          <w:bCs/>
          <w:kern w:val="24"/>
        </w:rPr>
        <w:t xml:space="preserve">Instructor:  </w:t>
      </w:r>
      <w:r>
        <w:rPr>
          <w:rFonts w:ascii="Calibri" w:hAnsi="Calibri" w:cs="Calibri"/>
          <w:kern w:val="24"/>
        </w:rPr>
        <w:t>The methods of payment bill that passed last year received another tweak. It now says that a</w:t>
      </w:r>
      <w:r>
        <w:rPr>
          <w:rFonts w:ascii="Calibri" w:hAnsi="Calibri" w:cs="Calibri"/>
          <w:b/>
          <w:bCs/>
          <w:kern w:val="24"/>
        </w:rPr>
        <w:t xml:space="preserve"> </w:t>
      </w:r>
      <w:r>
        <w:rPr>
          <w:rFonts w:ascii="Calibri" w:eastAsia="Times New Roman" w:hAnsi="Times New Roman" w:cs="Calibri"/>
          <w:kern w:val="24"/>
        </w:rPr>
        <w:t>Landlord must accept payment of rent or security deposit by check and money order. The requirement to accept cash is gone, which is good because many of our property managers reported this was a security issue for them. If the tenant pays cash or money order, the landlord must provide a receipt (the tenant no longer needs to request this). If a landlord charges a fee for collecting or processing payment, they must still also offer a method of payment without a fee. (this part didn</w:t>
      </w:r>
      <w:r>
        <w:rPr>
          <w:rFonts w:ascii="Calibri" w:eastAsia="Times New Roman" w:hAnsi="Times New Roman" w:cs="Calibri"/>
          <w:kern w:val="24"/>
        </w:rPr>
        <w:t>’</w:t>
      </w:r>
      <w:r>
        <w:rPr>
          <w:rFonts w:ascii="Calibri" w:eastAsia="Times New Roman" w:hAnsi="Times New Roman" w:cs="Calibri"/>
          <w:kern w:val="24"/>
        </w:rPr>
        <w:t xml:space="preserve">t change). However, if you charge a fee for collecting or processing payment, the landlord cannot require a tenant to pay a fee </w:t>
      </w:r>
      <w:proofErr w:type="gramStart"/>
      <w:r>
        <w:rPr>
          <w:rFonts w:ascii="Calibri" w:eastAsia="Times New Roman" w:hAnsi="Times New Roman" w:cs="Calibri"/>
          <w:kern w:val="24"/>
        </w:rPr>
        <w:t>in excess of</w:t>
      </w:r>
      <w:proofErr w:type="gramEnd"/>
      <w:r>
        <w:rPr>
          <w:rFonts w:ascii="Calibri" w:eastAsia="Times New Roman" w:hAnsi="Times New Roman" w:cs="Calibri"/>
          <w:kern w:val="24"/>
        </w:rPr>
        <w:t xml:space="preserve"> your </w:t>
      </w:r>
      <w:proofErr w:type="gramStart"/>
      <w:r>
        <w:rPr>
          <w:rFonts w:ascii="Calibri" w:eastAsia="Times New Roman" w:hAnsi="Times New Roman" w:cs="Calibri"/>
          <w:kern w:val="24"/>
        </w:rPr>
        <w:t>out of pocket</w:t>
      </w:r>
      <w:proofErr w:type="gramEnd"/>
      <w:r>
        <w:rPr>
          <w:rFonts w:ascii="Calibri" w:eastAsia="Times New Roman" w:hAnsi="Times New Roman" w:cs="Calibri"/>
          <w:kern w:val="24"/>
        </w:rPr>
        <w:t xml:space="preserve"> expenses charged by a 3</w:t>
      </w:r>
      <w:r>
        <w:rPr>
          <w:rFonts w:ascii="Calibri" w:eastAsia="Times New Roman" w:hAnsi="Times New Roman" w:cs="Calibri"/>
          <w:kern w:val="24"/>
          <w:vertAlign w:val="superscript"/>
        </w:rPr>
        <w:t>rd</w:t>
      </w:r>
      <w:r>
        <w:rPr>
          <w:rFonts w:ascii="Calibri" w:eastAsia="Times New Roman" w:hAnsi="Times New Roman" w:cs="Calibri"/>
          <w:kern w:val="24"/>
        </w:rPr>
        <w:t xml:space="preserve"> party. </w:t>
      </w:r>
    </w:p>
    <w:p w14:paraId="5D2FE980"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p>
    <w:p w14:paraId="121DA9E5"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eastAsia="Times New Roman" w:hAnsi="Times New Roman" w:cs="Calibri"/>
          <w:kern w:val="24"/>
        </w:rPr>
        <w:t xml:space="preserve">Additionally, a landlord is now prohibited from requiring a tenant </w:t>
      </w:r>
      <w:r>
        <w:rPr>
          <w:rFonts w:ascii="Calibri" w:hAnsi="Calibri" w:cs="Calibri"/>
          <w:kern w:val="24"/>
        </w:rPr>
        <w:t xml:space="preserve">to pay any fee for the maintenance or repair of any dwelling unit, unless the tenant </w:t>
      </w:r>
      <w:proofErr w:type="gramStart"/>
      <w:r>
        <w:rPr>
          <w:rFonts w:ascii="Calibri" w:hAnsi="Calibri" w:cs="Calibri"/>
          <w:kern w:val="24"/>
        </w:rPr>
        <w:t>actually caused</w:t>
      </w:r>
      <w:proofErr w:type="gramEnd"/>
      <w:r>
        <w:rPr>
          <w:rFonts w:ascii="Calibri" w:hAnsi="Calibri" w:cs="Calibri"/>
          <w:kern w:val="24"/>
        </w:rPr>
        <w:t xml:space="preserve"> the problem. </w:t>
      </w:r>
    </w:p>
    <w:p w14:paraId="170B7A3B" w14:textId="77777777" w:rsidR="00BB5A7C" w:rsidRDefault="00BB5A7C" w:rsidP="00BB5A7C">
      <w:pPr>
        <w:autoSpaceDE w:val="0"/>
        <w:autoSpaceDN w:val="0"/>
        <w:adjustRightInd w:val="0"/>
        <w:spacing w:after="0" w:line="240" w:lineRule="auto"/>
        <w:rPr>
          <w:rFonts w:ascii="Calibri" w:hAnsi="Calibri" w:cs="Calibri"/>
          <w:kern w:val="24"/>
        </w:rPr>
      </w:pPr>
    </w:p>
    <w:p w14:paraId="2E5CDA37" w14:textId="77777777" w:rsidR="00BB5A7C" w:rsidRDefault="00BB5A7C" w:rsidP="00BB5A7C">
      <w:pPr>
        <w:autoSpaceDE w:val="0"/>
        <w:autoSpaceDN w:val="0"/>
        <w:adjustRightInd w:val="0"/>
        <w:spacing w:after="0" w:line="240" w:lineRule="auto"/>
        <w:rPr>
          <w:rFonts w:ascii="Arial" w:hAnsi="Arial" w:cs="Arial"/>
          <w:kern w:val="0"/>
        </w:rPr>
      </w:pPr>
    </w:p>
    <w:p w14:paraId="7AA46D48" w14:textId="77777777" w:rsidR="00BB5A7C" w:rsidRDefault="00BB5A7C" w:rsidP="00BB5A7C">
      <w:pPr>
        <w:spacing w:line="360" w:lineRule="auto"/>
      </w:pPr>
    </w:p>
    <w:p w14:paraId="3D266228" w14:textId="04907093" w:rsidR="00BB5A7C" w:rsidRDefault="00BB5A7C">
      <w:r>
        <w:br w:type="page"/>
      </w:r>
    </w:p>
    <w:p w14:paraId="343B7B4A" w14:textId="68F58F16" w:rsidR="00BB5A7C" w:rsidRDefault="00BB5A7C" w:rsidP="00BB5A7C">
      <w:pPr>
        <w:spacing w:line="360" w:lineRule="auto"/>
      </w:pPr>
      <w:r>
        <w:lastRenderedPageBreak/>
        <w:t>Slide 10</w:t>
      </w:r>
    </w:p>
    <w:p w14:paraId="3C91B667" w14:textId="77777777" w:rsidR="00BB5A7C" w:rsidRDefault="00BB5A7C" w:rsidP="00BB5A7C">
      <w:pPr>
        <w:spacing w:line="360" w:lineRule="auto"/>
      </w:pPr>
    </w:p>
    <w:p w14:paraId="10445FD2" w14:textId="00E9045D" w:rsidR="00BB5A7C" w:rsidRDefault="00830822" w:rsidP="00BB5A7C">
      <w:pPr>
        <w:spacing w:line="360" w:lineRule="auto"/>
        <w:jc w:val="center"/>
      </w:pPr>
      <w:r>
        <w:rPr>
          <w:noProof/>
        </w:rPr>
        <w:drawing>
          <wp:inline distT="0" distB="0" distL="0" distR="0" wp14:anchorId="0659158B" wp14:editId="0803CAD5">
            <wp:extent cx="4702467" cy="2645138"/>
            <wp:effectExtent l="0" t="0" r="0" b="0"/>
            <wp:docPr id="573754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4448" name="Picture 5737544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6396" cy="2658598"/>
                    </a:xfrm>
                    <a:prstGeom prst="rect">
                      <a:avLst/>
                    </a:prstGeom>
                  </pic:spPr>
                </pic:pic>
              </a:graphicData>
            </a:graphic>
          </wp:inline>
        </w:drawing>
      </w:r>
    </w:p>
    <w:p w14:paraId="0CBBFC78" w14:textId="77777777" w:rsidR="00BB5A7C" w:rsidRDefault="00BB5A7C" w:rsidP="00BB5A7C">
      <w:pPr>
        <w:spacing w:line="360" w:lineRule="auto"/>
        <w:jc w:val="center"/>
      </w:pPr>
    </w:p>
    <w:p w14:paraId="34E904B9"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b/>
          <w:bCs/>
          <w:kern w:val="24"/>
        </w:rPr>
        <w:t xml:space="preserve">Instructor: </w:t>
      </w:r>
      <w:r>
        <w:rPr>
          <w:rFonts w:ascii="Calibri" w:hAnsi="Calibri" w:cs="Calibri"/>
          <w:kern w:val="24"/>
        </w:rPr>
        <w:t>This new law is effective, July 1, 2027. The new law states that prior to requesting or collecting any payment or information about a prospective tenant, the landlord must first notify the applicant in writing or by posting in a manner accessible to a prospective tenant (</w:t>
      </w:r>
      <w:proofErr w:type="spellStart"/>
      <w:r>
        <w:rPr>
          <w:rFonts w:ascii="Calibri" w:hAnsi="Calibri" w:cs="Calibri"/>
          <w:kern w:val="24"/>
        </w:rPr>
        <w:t>i</w:t>
      </w:r>
      <w:proofErr w:type="spellEnd"/>
      <w:r>
        <w:rPr>
          <w:rFonts w:ascii="Calibri" w:hAnsi="Calibri" w:cs="Calibri"/>
          <w:kern w:val="24"/>
        </w:rPr>
        <w:t xml:space="preserve">) the amount of any fees or application deposit that may be charged to an applicant and whether such fee or application deposit is refundable; (ii) the tenant selection criteria applicable to the unit; (iii) any criteria that will result in an automatic denial of the application; (iv) additional criteria that may result in the denial of the application; (v) if the landlord uses a consumer report in his determination, the name and address of the consumer reporting agency; and (vi) the applicant's right to obtain a free copy of the consumer report in the event of a denial or other adverse action and right to dispute the accuracy of information appearing in the consumer report. </w:t>
      </w:r>
    </w:p>
    <w:p w14:paraId="6A6708D8" w14:textId="77777777" w:rsidR="00BB5A7C" w:rsidRDefault="00BB5A7C" w:rsidP="00BB5A7C">
      <w:pPr>
        <w:autoSpaceDE w:val="0"/>
        <w:autoSpaceDN w:val="0"/>
        <w:adjustRightInd w:val="0"/>
        <w:spacing w:after="0" w:line="240" w:lineRule="auto"/>
        <w:rPr>
          <w:rFonts w:ascii="Calibri" w:hAnsi="Calibri" w:cs="Calibri"/>
          <w:kern w:val="24"/>
        </w:rPr>
      </w:pPr>
    </w:p>
    <w:p w14:paraId="0DCB25EE" w14:textId="77777777" w:rsidR="00BB5A7C" w:rsidRDefault="00BB5A7C" w:rsidP="00BB5A7C">
      <w:pPr>
        <w:autoSpaceDE w:val="0"/>
        <w:autoSpaceDN w:val="0"/>
        <w:adjustRightInd w:val="0"/>
        <w:spacing w:after="0" w:line="240" w:lineRule="auto"/>
        <w:rPr>
          <w:rFonts w:ascii="Calibri" w:eastAsia="Times New Roman" w:hAnsi="Times New Roman" w:cs="Calibri"/>
          <w:kern w:val="24"/>
        </w:rPr>
      </w:pPr>
      <w:r>
        <w:rPr>
          <w:rFonts w:ascii="Calibri" w:hAnsi="Calibri" w:cs="Calibri"/>
          <w:kern w:val="24"/>
        </w:rPr>
        <w:t xml:space="preserve">What will this look like in practice? It means that before a tenant pays an application fee, or showing fee, or any fee, they must be able to see all the rental criteria and anything that would lead to a denial. </w:t>
      </w:r>
    </w:p>
    <w:p w14:paraId="457ADEAC" w14:textId="77777777" w:rsidR="00BB5A7C" w:rsidRDefault="00BB5A7C" w:rsidP="00BB5A7C">
      <w:pPr>
        <w:autoSpaceDE w:val="0"/>
        <w:autoSpaceDN w:val="0"/>
        <w:adjustRightInd w:val="0"/>
        <w:spacing w:after="0" w:line="240" w:lineRule="auto"/>
        <w:rPr>
          <w:rFonts w:ascii="Calibri" w:hAnsi="Calibri" w:cs="Calibri"/>
          <w:kern w:val="24"/>
        </w:rPr>
      </w:pPr>
    </w:p>
    <w:p w14:paraId="15BD43B4" w14:textId="77777777" w:rsidR="00BB5A7C" w:rsidRDefault="00BB5A7C" w:rsidP="00BB5A7C">
      <w:pPr>
        <w:autoSpaceDE w:val="0"/>
        <w:autoSpaceDN w:val="0"/>
        <w:adjustRightInd w:val="0"/>
        <w:spacing w:after="0" w:line="240" w:lineRule="auto"/>
        <w:rPr>
          <w:rFonts w:ascii="Arial" w:hAnsi="Arial" w:cs="Arial"/>
          <w:kern w:val="0"/>
        </w:rPr>
      </w:pPr>
    </w:p>
    <w:p w14:paraId="5013305D" w14:textId="77777777" w:rsidR="00BB5A7C" w:rsidRDefault="00BB5A7C" w:rsidP="00BB5A7C">
      <w:pPr>
        <w:spacing w:line="360" w:lineRule="auto"/>
      </w:pPr>
    </w:p>
    <w:p w14:paraId="4556A8E8" w14:textId="289AA42D" w:rsidR="00BB5A7C" w:rsidRDefault="00BB5A7C">
      <w:r>
        <w:br w:type="page"/>
      </w:r>
    </w:p>
    <w:p w14:paraId="4F99084C" w14:textId="3CE01D0F" w:rsidR="00BB5A7C" w:rsidRDefault="00BB5A7C" w:rsidP="00BB5A7C">
      <w:pPr>
        <w:spacing w:line="360" w:lineRule="auto"/>
      </w:pPr>
      <w:r>
        <w:lastRenderedPageBreak/>
        <w:t>Slide 11</w:t>
      </w:r>
    </w:p>
    <w:p w14:paraId="0E76876A" w14:textId="77777777" w:rsidR="00BB5A7C" w:rsidRDefault="00BB5A7C" w:rsidP="00BB5A7C">
      <w:pPr>
        <w:spacing w:line="360" w:lineRule="auto"/>
      </w:pPr>
    </w:p>
    <w:p w14:paraId="4BE8CD21" w14:textId="7F4FE984" w:rsidR="00BB5A7C" w:rsidRDefault="00830822" w:rsidP="00BB5A7C">
      <w:pPr>
        <w:spacing w:line="360" w:lineRule="auto"/>
        <w:jc w:val="center"/>
      </w:pPr>
      <w:r>
        <w:rPr>
          <w:noProof/>
        </w:rPr>
        <w:drawing>
          <wp:inline distT="0" distB="0" distL="0" distR="0" wp14:anchorId="37BE6AC2" wp14:editId="2CE92A2D">
            <wp:extent cx="4646990" cy="2613932"/>
            <wp:effectExtent l="0" t="0" r="1270" b="2540"/>
            <wp:docPr id="2134819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19288" name="Picture 21348192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6885" cy="2625123"/>
                    </a:xfrm>
                    <a:prstGeom prst="rect">
                      <a:avLst/>
                    </a:prstGeom>
                  </pic:spPr>
                </pic:pic>
              </a:graphicData>
            </a:graphic>
          </wp:inline>
        </w:drawing>
      </w:r>
    </w:p>
    <w:p w14:paraId="68304717" w14:textId="77777777" w:rsidR="00BB5A7C" w:rsidRDefault="00BB5A7C" w:rsidP="00BB5A7C">
      <w:pPr>
        <w:spacing w:line="360" w:lineRule="auto"/>
        <w:jc w:val="center"/>
      </w:pPr>
    </w:p>
    <w:p w14:paraId="4D9F6EAE"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b/>
          <w:bCs/>
          <w:kern w:val="24"/>
        </w:rPr>
        <w:t xml:space="preserve">Instructor: </w:t>
      </w:r>
      <w:r>
        <w:rPr>
          <w:rFonts w:ascii="Calibri" w:hAnsi="Calibri" w:cs="Calibri"/>
          <w:kern w:val="24"/>
        </w:rPr>
        <w:t xml:space="preserve">Another landlord tenant bill focuses on the written statement of charges due that goes to the tenant. This new law will state that no notice of termination for nonpayment of rent shall be effective unless the notice contains a written statement of charges and payments over the course of the tenancy or the past 12 months, whichever is shorter, including any late charges, attorney fees, costs, and other charges or damages as contracted for in the lease that are due and owing. I imagine most of you are doing this already, </w:t>
      </w:r>
      <w:proofErr w:type="spellStart"/>
      <w:proofErr w:type="gramStart"/>
      <w:r>
        <w:rPr>
          <w:rFonts w:ascii="Calibri" w:hAnsi="Calibri" w:cs="Calibri"/>
          <w:kern w:val="24"/>
        </w:rPr>
        <w:t>its</w:t>
      </w:r>
      <w:proofErr w:type="spellEnd"/>
      <w:proofErr w:type="gramEnd"/>
      <w:r>
        <w:rPr>
          <w:rFonts w:ascii="Calibri" w:hAnsi="Calibri" w:cs="Calibri"/>
          <w:kern w:val="24"/>
        </w:rPr>
        <w:t xml:space="preserve"> difficult to give a tenant notice that they </w:t>
      </w:r>
      <w:proofErr w:type="gramStart"/>
      <w:r>
        <w:rPr>
          <w:rFonts w:ascii="Calibri" w:hAnsi="Calibri" w:cs="Calibri"/>
          <w:kern w:val="24"/>
        </w:rPr>
        <w:t>have to</w:t>
      </w:r>
      <w:proofErr w:type="gramEnd"/>
      <w:r>
        <w:rPr>
          <w:rFonts w:ascii="Calibri" w:hAnsi="Calibri" w:cs="Calibri"/>
          <w:kern w:val="24"/>
        </w:rPr>
        <w:t xml:space="preserve"> pay within 14 days to stay, without telling them how much they owe, but here we are. Now if the rental agreement provides for the use of submetering, energy allocation equipment, or ratio utility billing the notice must also include all the debits and credits incurred by the tenant for energy and utility bills. Again, I’m sure most of you are doing this already. But the reason behind this was that there were several agencies and nonprofits that needed this specific information to help tenants with their utility bills. </w:t>
      </w:r>
    </w:p>
    <w:p w14:paraId="7865F0E9" w14:textId="77777777" w:rsidR="00BB5A7C" w:rsidRDefault="00BB5A7C" w:rsidP="00BB5A7C">
      <w:pPr>
        <w:autoSpaceDE w:val="0"/>
        <w:autoSpaceDN w:val="0"/>
        <w:adjustRightInd w:val="0"/>
        <w:spacing w:after="0" w:line="240" w:lineRule="auto"/>
        <w:rPr>
          <w:rFonts w:ascii="Calibri" w:hAnsi="Calibri" w:cs="Calibri"/>
          <w:kern w:val="24"/>
        </w:rPr>
      </w:pPr>
    </w:p>
    <w:p w14:paraId="79D80377"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If you are using one of these systems for utility billing, please remember that your records must include a description of how monthly energy and utility billing fees are calculated and a history of billing fee payments for each tenant over the duration of the tenancy or the past 12 months, whichever is shorter.</w:t>
      </w:r>
    </w:p>
    <w:p w14:paraId="6F09F0ED" w14:textId="77777777" w:rsidR="00BB5A7C" w:rsidRDefault="00BB5A7C" w:rsidP="00BB5A7C">
      <w:pPr>
        <w:autoSpaceDE w:val="0"/>
        <w:autoSpaceDN w:val="0"/>
        <w:adjustRightInd w:val="0"/>
        <w:spacing w:after="0" w:line="240" w:lineRule="auto"/>
        <w:rPr>
          <w:rFonts w:ascii="Calibri" w:hAnsi="Calibri" w:cs="Calibri"/>
          <w:kern w:val="24"/>
        </w:rPr>
      </w:pPr>
    </w:p>
    <w:p w14:paraId="6B6CA84F"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 xml:space="preserve">This notice must be provided to the tenant, and to the court when filing the UD. There is another delayed enactment here. This law won’t become effective until next year, July 1, 2027. </w:t>
      </w:r>
    </w:p>
    <w:p w14:paraId="4281D469" w14:textId="77777777" w:rsidR="00BB5A7C" w:rsidRDefault="00BB5A7C" w:rsidP="00BB5A7C">
      <w:pPr>
        <w:autoSpaceDE w:val="0"/>
        <w:autoSpaceDN w:val="0"/>
        <w:adjustRightInd w:val="0"/>
        <w:spacing w:after="0" w:line="240" w:lineRule="auto"/>
        <w:rPr>
          <w:rFonts w:ascii="Calibri" w:hAnsi="Calibri" w:cs="Calibri"/>
          <w:i/>
          <w:iCs/>
          <w:kern w:val="24"/>
        </w:rPr>
      </w:pPr>
    </w:p>
    <w:p w14:paraId="09BEA7C6" w14:textId="77777777" w:rsidR="00BB5A7C" w:rsidRDefault="00BB5A7C" w:rsidP="00BB5A7C">
      <w:pPr>
        <w:autoSpaceDE w:val="0"/>
        <w:autoSpaceDN w:val="0"/>
        <w:adjustRightInd w:val="0"/>
        <w:spacing w:after="0" w:line="240" w:lineRule="auto"/>
        <w:rPr>
          <w:rFonts w:ascii="Arial" w:hAnsi="Arial" w:cs="Arial"/>
          <w:kern w:val="0"/>
        </w:rPr>
      </w:pPr>
    </w:p>
    <w:p w14:paraId="4752A28F" w14:textId="77777777" w:rsidR="00BB5A7C" w:rsidRDefault="00BB5A7C" w:rsidP="00BB5A7C">
      <w:pPr>
        <w:spacing w:line="360" w:lineRule="auto"/>
      </w:pPr>
    </w:p>
    <w:p w14:paraId="244FDA8A" w14:textId="67C60C01" w:rsidR="00BB5A7C" w:rsidRDefault="00BB5A7C" w:rsidP="00F66E4A">
      <w:r>
        <w:br w:type="page"/>
      </w:r>
      <w:r>
        <w:lastRenderedPageBreak/>
        <w:t>Slide 12</w:t>
      </w:r>
    </w:p>
    <w:p w14:paraId="188B77F1" w14:textId="77777777" w:rsidR="00BB5A7C" w:rsidRDefault="00BB5A7C" w:rsidP="00BB5A7C">
      <w:pPr>
        <w:spacing w:line="360" w:lineRule="auto"/>
      </w:pPr>
    </w:p>
    <w:p w14:paraId="42C05C78" w14:textId="1B2304CB" w:rsidR="00BB5A7C" w:rsidRDefault="005568B0" w:rsidP="00BB5A7C">
      <w:pPr>
        <w:spacing w:line="360" w:lineRule="auto"/>
        <w:jc w:val="center"/>
      </w:pPr>
      <w:r>
        <w:rPr>
          <w:noProof/>
        </w:rPr>
        <w:drawing>
          <wp:inline distT="0" distB="0" distL="0" distR="0" wp14:anchorId="297BAD39" wp14:editId="2723D6E4">
            <wp:extent cx="4527395" cy="2546660"/>
            <wp:effectExtent l="0" t="0" r="0" b="6350"/>
            <wp:docPr id="721488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88834" name="Picture 7214888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1339" cy="2582628"/>
                    </a:xfrm>
                    <a:prstGeom prst="rect">
                      <a:avLst/>
                    </a:prstGeom>
                  </pic:spPr>
                </pic:pic>
              </a:graphicData>
            </a:graphic>
          </wp:inline>
        </w:drawing>
      </w:r>
    </w:p>
    <w:p w14:paraId="15D75A3A" w14:textId="77777777" w:rsidR="00BB5A7C" w:rsidRDefault="00BB5A7C" w:rsidP="00BB5A7C">
      <w:pPr>
        <w:spacing w:line="360" w:lineRule="auto"/>
        <w:jc w:val="center"/>
      </w:pPr>
    </w:p>
    <w:p w14:paraId="46CBD112" w14:textId="77777777" w:rsidR="00BB5A7C" w:rsidRDefault="00BB5A7C" w:rsidP="00BB5A7C">
      <w:pPr>
        <w:autoSpaceDE w:val="0"/>
        <w:autoSpaceDN w:val="0"/>
        <w:adjustRightInd w:val="0"/>
        <w:spacing w:after="0" w:line="240" w:lineRule="auto"/>
        <w:rPr>
          <w:rFonts w:ascii="Calibri" w:hAnsi="Calibri" w:cs="Calibri"/>
          <w:kern w:val="24"/>
        </w:rPr>
      </w:pPr>
      <w:r>
        <w:rPr>
          <w:rFonts w:ascii="Calibri" w:hAnsi="Calibri" w:cs="Calibri"/>
          <w:kern w:val="24"/>
        </w:rPr>
        <w:t xml:space="preserve">Remember, please speak with your Broker and if you still have questions please note the Virginia REALTORS® Legal Hotline is open to all members. </w:t>
      </w:r>
    </w:p>
    <w:p w14:paraId="14208C7D" w14:textId="77777777" w:rsidR="00BB5A7C" w:rsidRDefault="00BB5A7C" w:rsidP="00BB5A7C">
      <w:pPr>
        <w:autoSpaceDE w:val="0"/>
        <w:autoSpaceDN w:val="0"/>
        <w:adjustRightInd w:val="0"/>
        <w:spacing w:after="0" w:line="240" w:lineRule="auto"/>
        <w:rPr>
          <w:rFonts w:ascii="Arial" w:hAnsi="Arial" w:cs="Arial"/>
          <w:kern w:val="0"/>
        </w:rPr>
      </w:pPr>
    </w:p>
    <w:p w14:paraId="6A747171" w14:textId="77777777" w:rsidR="00BB5A7C" w:rsidRDefault="00BB5A7C" w:rsidP="00BB5A7C">
      <w:pPr>
        <w:spacing w:line="360" w:lineRule="auto"/>
      </w:pPr>
    </w:p>
    <w:p w14:paraId="718C3D6C" w14:textId="2C1D519F" w:rsidR="00BB5A7C" w:rsidRDefault="00BB5A7C">
      <w:r>
        <w:br w:type="page"/>
      </w:r>
    </w:p>
    <w:p w14:paraId="7BD0FE20" w14:textId="1BB208C3" w:rsidR="00BB5A7C" w:rsidRDefault="00BB5A7C" w:rsidP="00BB5A7C">
      <w:pPr>
        <w:spacing w:line="360" w:lineRule="auto"/>
      </w:pPr>
      <w:r>
        <w:lastRenderedPageBreak/>
        <w:t>Slide 13</w:t>
      </w:r>
    </w:p>
    <w:p w14:paraId="5DB7C34C" w14:textId="77777777" w:rsidR="00BB5A7C" w:rsidRDefault="00BB5A7C" w:rsidP="00BB5A7C">
      <w:pPr>
        <w:spacing w:line="360" w:lineRule="auto"/>
      </w:pPr>
    </w:p>
    <w:p w14:paraId="4AF3FD88" w14:textId="0C5A6A0B" w:rsidR="00BB5A7C" w:rsidRDefault="005568B0" w:rsidP="00BB5A7C">
      <w:pPr>
        <w:spacing w:line="360" w:lineRule="auto"/>
        <w:jc w:val="center"/>
      </w:pPr>
      <w:r>
        <w:rPr>
          <w:noProof/>
        </w:rPr>
        <w:drawing>
          <wp:inline distT="0" distB="0" distL="0" distR="0" wp14:anchorId="03A2D8B4" wp14:editId="42613B11">
            <wp:extent cx="4655015" cy="2618446"/>
            <wp:effectExtent l="0" t="0" r="0" b="0"/>
            <wp:docPr id="702790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0112" name="Picture 7027901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2602" cy="2639589"/>
                    </a:xfrm>
                    <a:prstGeom prst="rect">
                      <a:avLst/>
                    </a:prstGeom>
                  </pic:spPr>
                </pic:pic>
              </a:graphicData>
            </a:graphic>
          </wp:inline>
        </w:drawing>
      </w:r>
    </w:p>
    <w:p w14:paraId="1866E567" w14:textId="77777777" w:rsidR="00BB5A7C" w:rsidRDefault="00BB5A7C" w:rsidP="00BB5A7C">
      <w:pPr>
        <w:spacing w:line="360" w:lineRule="auto"/>
        <w:jc w:val="center"/>
      </w:pPr>
    </w:p>
    <w:p w14:paraId="1D429EDF" w14:textId="77777777" w:rsidR="00BB5A7C" w:rsidRDefault="00BB5A7C" w:rsidP="00BB5A7C">
      <w:pPr>
        <w:spacing w:line="360" w:lineRule="auto"/>
      </w:pPr>
    </w:p>
    <w:p w14:paraId="6236684E" w14:textId="77777777" w:rsidR="00BB5A7C" w:rsidRDefault="00BB5A7C" w:rsidP="00BB5A7C">
      <w:pPr>
        <w:spacing w:line="360" w:lineRule="auto"/>
      </w:pPr>
    </w:p>
    <w:sectPr w:rsidR="00BB5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A209DD6"/>
    <w:lvl w:ilvl="0">
      <w:numFmt w:val="bullet"/>
      <w:lvlText w:val="*"/>
      <w:lvlJc w:val="left"/>
    </w:lvl>
  </w:abstractNum>
  <w:num w:numId="1" w16cid:durableId="1228690497">
    <w:abstractNumId w:val="0"/>
    <w:lvlOverride w:ilvl="0">
      <w:lvl w:ilvl="0">
        <w:numFmt w:val="bullet"/>
        <w:lvlText w:val="•"/>
        <w:legacy w:legacy="1" w:legacySpace="0" w:legacyIndent="0"/>
        <w:lvlJc w:val="left"/>
        <w:rPr>
          <w:rFonts w:ascii="Arial" w:hAnsi="Arial" w:cs="Arial" w:hint="default"/>
          <w:sz w:val="24"/>
        </w:rPr>
      </w:lvl>
    </w:lvlOverride>
  </w:num>
  <w:num w:numId="2" w16cid:durableId="1413165225">
    <w:abstractNumId w:val="0"/>
    <w:lvlOverride w:ilvl="0">
      <w:lvl w:ilvl="0">
        <w:numFmt w:val="bullet"/>
        <w:lvlText w:val="•"/>
        <w:legacy w:legacy="1" w:legacySpace="0" w:legacyIndent="0"/>
        <w:lvlJc w:val="left"/>
        <w:rPr>
          <w:rFonts w:ascii="Calibri" w:hAnsi="Calibri" w:cs="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7C"/>
    <w:rsid w:val="003C1674"/>
    <w:rsid w:val="00524164"/>
    <w:rsid w:val="005568B0"/>
    <w:rsid w:val="00664EFD"/>
    <w:rsid w:val="00830822"/>
    <w:rsid w:val="009B392B"/>
    <w:rsid w:val="00A564E9"/>
    <w:rsid w:val="00B4302F"/>
    <w:rsid w:val="00BB5A7C"/>
    <w:rsid w:val="00BD2EA6"/>
    <w:rsid w:val="00C177AB"/>
    <w:rsid w:val="00DD0388"/>
    <w:rsid w:val="00F66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5CF7B"/>
  <w15:chartTrackingRefBased/>
  <w15:docId w15:val="{7EEFA26E-14CF-4A4F-90C3-F39F153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A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5A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5A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5A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5A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5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5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5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5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A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5A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5A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5A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5A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5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5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5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5A7C"/>
    <w:rPr>
      <w:rFonts w:eastAsiaTheme="majorEastAsia" w:cstheme="majorBidi"/>
      <w:color w:val="272727" w:themeColor="text1" w:themeTint="D8"/>
    </w:rPr>
  </w:style>
  <w:style w:type="paragraph" w:styleId="Title">
    <w:name w:val="Title"/>
    <w:basedOn w:val="Normal"/>
    <w:next w:val="Normal"/>
    <w:link w:val="TitleChar"/>
    <w:uiPriority w:val="10"/>
    <w:qFormat/>
    <w:rsid w:val="00BB5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5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5A7C"/>
    <w:pPr>
      <w:spacing w:before="160"/>
      <w:jc w:val="center"/>
    </w:pPr>
    <w:rPr>
      <w:i/>
      <w:iCs/>
      <w:color w:val="404040" w:themeColor="text1" w:themeTint="BF"/>
    </w:rPr>
  </w:style>
  <w:style w:type="character" w:customStyle="1" w:styleId="QuoteChar">
    <w:name w:val="Quote Char"/>
    <w:basedOn w:val="DefaultParagraphFont"/>
    <w:link w:val="Quote"/>
    <w:uiPriority w:val="29"/>
    <w:rsid w:val="00BB5A7C"/>
    <w:rPr>
      <w:i/>
      <w:iCs/>
      <w:color w:val="404040" w:themeColor="text1" w:themeTint="BF"/>
    </w:rPr>
  </w:style>
  <w:style w:type="paragraph" w:styleId="ListParagraph">
    <w:name w:val="List Paragraph"/>
    <w:basedOn w:val="Normal"/>
    <w:uiPriority w:val="34"/>
    <w:qFormat/>
    <w:rsid w:val="00BB5A7C"/>
    <w:pPr>
      <w:ind w:left="720"/>
      <w:contextualSpacing/>
    </w:pPr>
  </w:style>
  <w:style w:type="character" w:styleId="IntenseEmphasis">
    <w:name w:val="Intense Emphasis"/>
    <w:basedOn w:val="DefaultParagraphFont"/>
    <w:uiPriority w:val="21"/>
    <w:qFormat/>
    <w:rsid w:val="00BB5A7C"/>
    <w:rPr>
      <w:i/>
      <w:iCs/>
      <w:color w:val="0F4761" w:themeColor="accent1" w:themeShade="BF"/>
    </w:rPr>
  </w:style>
  <w:style w:type="paragraph" w:styleId="IntenseQuote">
    <w:name w:val="Intense Quote"/>
    <w:basedOn w:val="Normal"/>
    <w:next w:val="Normal"/>
    <w:link w:val="IntenseQuoteChar"/>
    <w:uiPriority w:val="30"/>
    <w:qFormat/>
    <w:rsid w:val="00BB5A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5A7C"/>
    <w:rPr>
      <w:i/>
      <w:iCs/>
      <w:color w:val="0F4761" w:themeColor="accent1" w:themeShade="BF"/>
    </w:rPr>
  </w:style>
  <w:style w:type="character" w:styleId="IntenseReference">
    <w:name w:val="Intense Reference"/>
    <w:basedOn w:val="DefaultParagraphFont"/>
    <w:uiPriority w:val="32"/>
    <w:qFormat/>
    <w:rsid w:val="00BB5A7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7" ma:contentTypeDescription="Create a new document." ma:contentTypeScope="" ma:versionID="92a4005fd565fb36c2d063284bf52ce8">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c14a2f10567cf6897a8a6597ac5ace0f"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65BA6-437B-4B1F-93D3-3416715DF5E3}">
  <ds:schemaRefs>
    <ds:schemaRef ds:uri="http://schemas.microsoft.com/office/2006/metadata/properties"/>
    <ds:schemaRef ds:uri="http://schemas.microsoft.com/office/infopath/2007/PartnerControls"/>
    <ds:schemaRef ds:uri="ba630d7b-8c89-47ad-91ac-97942cba60d1"/>
    <ds:schemaRef ds:uri="0207266a-8549-4d12-87c7-6d3d79637e47"/>
  </ds:schemaRefs>
</ds:datastoreItem>
</file>

<file path=customXml/itemProps2.xml><?xml version="1.0" encoding="utf-8"?>
<ds:datastoreItem xmlns:ds="http://schemas.openxmlformats.org/officeDocument/2006/customXml" ds:itemID="{3D25898E-46F7-4E90-B9B7-72C129FC5051}">
  <ds:schemaRefs>
    <ds:schemaRef ds:uri="http://schemas.microsoft.com/sharepoint/v3/contenttype/forms"/>
  </ds:schemaRefs>
</ds:datastoreItem>
</file>

<file path=customXml/itemProps3.xml><?xml version="1.0" encoding="utf-8"?>
<ds:datastoreItem xmlns:ds="http://schemas.openxmlformats.org/officeDocument/2006/customXml" ds:itemID="{42D94480-B667-46F3-A245-3B02C5B36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30d7b-8c89-47ad-91ac-97942cba60d1"/>
    <ds:schemaRef ds:uri="0207266a-8549-4d12-87c7-6d3d79637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1788</Words>
  <Characters>8731</Characters>
  <Application>Microsoft Office Word</Application>
  <DocSecurity>0</DocSecurity>
  <Lines>249</Lines>
  <Paragraphs>58</Paragraphs>
  <ScaleCrop>false</ScaleCrop>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Montalvo</dc:creator>
  <cp:keywords/>
  <dc:description/>
  <cp:lastModifiedBy>Adam J Smith (Creative Director)</cp:lastModifiedBy>
  <cp:revision>6</cp:revision>
  <dcterms:created xsi:type="dcterms:W3CDTF">2026-06-01T04:17:00Z</dcterms:created>
  <dcterms:modified xsi:type="dcterms:W3CDTF">2026-06-01T04:23:00Z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