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996"/>
        <w:gridCol w:w="3996"/>
      </w:tblGrid>
      <w:tr w:rsidR="00035CB3" w14:paraId="23D952FB" w14:textId="77777777" w:rsidTr="00035CB3">
        <w:trPr>
          <w:trHeight w:val="4000"/>
        </w:trPr>
        <w:tc>
          <w:tcPr>
            <w:tcW w:w="1368" w:type="dxa"/>
            <w:vAlign w:val="center"/>
          </w:tcPr>
          <w:p w14:paraId="59D48466" w14:textId="2CDD0A9E" w:rsidR="00035CB3" w:rsidRDefault="00035CB3" w:rsidP="00035CB3">
            <w:r>
              <w:t>Slide 1</w:t>
            </w:r>
          </w:p>
        </w:tc>
        <w:tc>
          <w:tcPr>
            <w:tcW w:w="3996" w:type="dxa"/>
            <w:vAlign w:val="center"/>
          </w:tcPr>
          <w:p w14:paraId="48E823B5" w14:textId="665DE0A5" w:rsidR="00035CB3" w:rsidRDefault="00C848EB" w:rsidP="00035CB3">
            <w:r w:rsidRPr="00C848EB">
              <w:rPr>
                <w:noProof/>
              </w:rPr>
              <w:drawing>
                <wp:inline distT="0" distB="0" distL="0" distR="0" wp14:anchorId="3A7FFB0D" wp14:editId="19262FD3">
                  <wp:extent cx="2400017" cy="1350010"/>
                  <wp:effectExtent l="0" t="0" r="635" b="0"/>
                  <wp:docPr id="142777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7405"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6ACD2921" w14:textId="11E38D0D" w:rsidR="00C848EB" w:rsidRPr="00C848EB" w:rsidRDefault="00C848EB" w:rsidP="00C848EB">
            <w:pPr>
              <w:jc w:val="left"/>
              <w:rPr>
                <w:rFonts w:ascii="Calibri" w:hAnsi="Calibri" w:cs="Calibri"/>
                <w:sz w:val="24"/>
                <w:szCs w:val="24"/>
              </w:rPr>
            </w:pPr>
            <w:r w:rsidRPr="00C848EB">
              <w:rPr>
                <w:rFonts w:ascii="Calibri" w:hAnsi="Calibri" w:cs="Calibri"/>
                <w:b/>
                <w:bCs/>
                <w:sz w:val="24"/>
                <w:szCs w:val="24"/>
              </w:rPr>
              <w:t xml:space="preserve">Instructor: </w:t>
            </w:r>
            <w:r w:rsidR="000F3387" w:rsidRPr="000F3387">
              <w:rPr>
                <w:rFonts w:ascii="Calibri" w:hAnsi="Calibri" w:cs="Calibri"/>
                <w:sz w:val="24"/>
                <w:szCs w:val="24"/>
              </w:rPr>
              <w:t>This sales meeting kit will cover some of the changes that have gone into effect under the new Real Estate Board regulations. A lot of this regulation rewrite focused on streamlining the information and organizing it into a more user-friendly document, but there were some substantive changes as well.</w:t>
            </w:r>
          </w:p>
          <w:p w14:paraId="0CAEAAC1" w14:textId="77777777" w:rsidR="00035CB3" w:rsidRDefault="00035CB3" w:rsidP="00C848EB">
            <w:pPr>
              <w:jc w:val="left"/>
            </w:pPr>
          </w:p>
        </w:tc>
      </w:tr>
      <w:tr w:rsidR="00035CB3" w14:paraId="433F3AC5" w14:textId="77777777" w:rsidTr="00035CB3">
        <w:trPr>
          <w:trHeight w:val="4000"/>
        </w:trPr>
        <w:tc>
          <w:tcPr>
            <w:tcW w:w="1368" w:type="dxa"/>
            <w:vAlign w:val="center"/>
          </w:tcPr>
          <w:p w14:paraId="2D2FDDE1" w14:textId="6F4243C5" w:rsidR="00035CB3" w:rsidRDefault="00035CB3" w:rsidP="00035CB3">
            <w:r>
              <w:t>Slide 2</w:t>
            </w:r>
          </w:p>
        </w:tc>
        <w:tc>
          <w:tcPr>
            <w:tcW w:w="3996" w:type="dxa"/>
            <w:vAlign w:val="center"/>
          </w:tcPr>
          <w:p w14:paraId="205FC8F9" w14:textId="0BF2BF6A" w:rsidR="00035CB3" w:rsidRDefault="00C848EB" w:rsidP="00035CB3">
            <w:r w:rsidRPr="00C848EB">
              <w:rPr>
                <w:noProof/>
              </w:rPr>
              <w:drawing>
                <wp:inline distT="0" distB="0" distL="0" distR="0" wp14:anchorId="7AA5EABE" wp14:editId="17AB13E0">
                  <wp:extent cx="2400017" cy="1350010"/>
                  <wp:effectExtent l="0" t="0" r="635" b="0"/>
                  <wp:docPr id="235359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346"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2FAB57A3" w14:textId="77777777" w:rsidR="000F3387" w:rsidRPr="000F3387" w:rsidRDefault="00C848EB" w:rsidP="000F3387">
            <w:pPr>
              <w:autoSpaceDE w:val="0"/>
              <w:autoSpaceDN w:val="0"/>
              <w:adjustRightInd w:val="0"/>
              <w:jc w:val="left"/>
              <w:rPr>
                <w:rFonts w:ascii="Calibri" w:hAnsi="Calibri" w:cs="Calibri"/>
                <w:kern w:val="24"/>
                <w:sz w:val="24"/>
                <w:szCs w:val="24"/>
              </w:rPr>
            </w:pPr>
            <w:r w:rsidRPr="000F3387">
              <w:rPr>
                <w:rFonts w:ascii="Calibri" w:hAnsi="Calibri" w:cs="Calibri"/>
                <w:b/>
                <w:bCs/>
                <w:kern w:val="24"/>
                <w:sz w:val="24"/>
                <w:szCs w:val="24"/>
              </w:rPr>
              <w:t xml:space="preserve">Instructor: </w:t>
            </w:r>
            <w:r w:rsidR="000F3387" w:rsidRPr="000F3387">
              <w:rPr>
                <w:rFonts w:ascii="Calibri" w:hAnsi="Calibri" w:cs="Calibri"/>
                <w:kern w:val="24"/>
                <w:sz w:val="24"/>
                <w:szCs w:val="24"/>
              </w:rPr>
              <w:t>Starting first with the regulation regarding places of business.  The language in this section has been updated to match the changes to the law made in 2024. The language no longer talks about having a place of business in a home and needing a separate entrance and accessibility. Instead, the language now states every principal broker must have the following readily available to the public in the primary place of business:</w:t>
            </w:r>
          </w:p>
          <w:p w14:paraId="5B4DC5BB"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1. The firm </w:t>
            </w:r>
            <w:proofErr w:type="gramStart"/>
            <w:r w:rsidRPr="000F3387">
              <w:rPr>
                <w:rFonts w:ascii="Calibri" w:hAnsi="Calibri" w:cs="Calibri"/>
                <w:kern w:val="24"/>
                <w:sz w:val="24"/>
                <w:szCs w:val="24"/>
              </w:rPr>
              <w:t>license;</w:t>
            </w:r>
            <w:proofErr w:type="gramEnd"/>
          </w:p>
          <w:p w14:paraId="51A775A4"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2. The principal broker license; and</w:t>
            </w:r>
          </w:p>
          <w:p w14:paraId="20590533"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3. The license of every salesperson and broker active with the firm.</w:t>
            </w:r>
          </w:p>
          <w:p w14:paraId="1229293B"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In other words, a licensee can now operate from home without meeting any special physical space requirements — but if they hold the home out to the public as a regular place of business, they may trigger the branch office licensing requirement under the law. </w:t>
            </w:r>
          </w:p>
          <w:p w14:paraId="0EEB9FCF" w14:textId="501F7CA6" w:rsidR="00035CB3" w:rsidRPr="000F3387" w:rsidRDefault="00035CB3" w:rsidP="000F3387">
            <w:pPr>
              <w:autoSpaceDE w:val="0"/>
              <w:autoSpaceDN w:val="0"/>
              <w:adjustRightInd w:val="0"/>
              <w:spacing w:line="240" w:lineRule="auto"/>
              <w:jc w:val="left"/>
              <w:rPr>
                <w:rFonts w:ascii="Calibri" w:hAnsi="Calibri" w:cs="Calibri"/>
                <w:b/>
                <w:bCs/>
                <w:kern w:val="24"/>
                <w:sz w:val="24"/>
                <w:szCs w:val="24"/>
              </w:rPr>
            </w:pPr>
          </w:p>
          <w:p w14:paraId="005E906F" w14:textId="77777777" w:rsidR="00035CB3" w:rsidRPr="000F3387" w:rsidRDefault="00035CB3" w:rsidP="000F3387">
            <w:pPr>
              <w:autoSpaceDE w:val="0"/>
              <w:autoSpaceDN w:val="0"/>
              <w:adjustRightInd w:val="0"/>
              <w:spacing w:line="240" w:lineRule="auto"/>
              <w:jc w:val="left"/>
              <w:rPr>
                <w:rFonts w:ascii="Calibri" w:hAnsi="Calibri" w:cs="Calibri"/>
                <w:kern w:val="0"/>
                <w:sz w:val="24"/>
                <w:szCs w:val="24"/>
              </w:rPr>
            </w:pPr>
          </w:p>
          <w:p w14:paraId="15ADAFD5" w14:textId="77777777" w:rsidR="00035CB3" w:rsidRPr="000F3387" w:rsidRDefault="00035CB3" w:rsidP="000F3387">
            <w:pPr>
              <w:jc w:val="left"/>
              <w:rPr>
                <w:rFonts w:ascii="Calibri" w:hAnsi="Calibri" w:cs="Calibri"/>
                <w:sz w:val="24"/>
                <w:szCs w:val="24"/>
              </w:rPr>
            </w:pPr>
          </w:p>
        </w:tc>
      </w:tr>
      <w:tr w:rsidR="00035CB3" w14:paraId="7B726965" w14:textId="77777777" w:rsidTr="00035CB3">
        <w:trPr>
          <w:trHeight w:val="4000"/>
        </w:trPr>
        <w:tc>
          <w:tcPr>
            <w:tcW w:w="1368" w:type="dxa"/>
            <w:vAlign w:val="center"/>
          </w:tcPr>
          <w:p w14:paraId="2CF8F1FB" w14:textId="02D23BCF" w:rsidR="00035CB3" w:rsidRDefault="00035CB3" w:rsidP="00035CB3">
            <w:r>
              <w:lastRenderedPageBreak/>
              <w:t>Slide 3</w:t>
            </w:r>
          </w:p>
        </w:tc>
        <w:tc>
          <w:tcPr>
            <w:tcW w:w="3996" w:type="dxa"/>
            <w:vAlign w:val="center"/>
          </w:tcPr>
          <w:p w14:paraId="65680585" w14:textId="18C83ED4" w:rsidR="00035CB3" w:rsidRDefault="00C848EB" w:rsidP="00035CB3">
            <w:r w:rsidRPr="00C848EB">
              <w:rPr>
                <w:noProof/>
              </w:rPr>
              <w:drawing>
                <wp:inline distT="0" distB="0" distL="0" distR="0" wp14:anchorId="551F0310" wp14:editId="3518E8E3">
                  <wp:extent cx="2400017" cy="1350010"/>
                  <wp:effectExtent l="0" t="0" r="635" b="0"/>
                  <wp:docPr id="176029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9718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2733E356" w14:textId="4F17CD4E" w:rsidR="00C848EB" w:rsidRPr="00C848EB" w:rsidRDefault="00C848EB" w:rsidP="00C848EB">
            <w:pPr>
              <w:autoSpaceDE w:val="0"/>
              <w:autoSpaceDN w:val="0"/>
              <w:adjustRightInd w:val="0"/>
              <w:jc w:val="left"/>
              <w:rPr>
                <w:rFonts w:ascii="Calibri" w:hAnsi="Calibri" w:cs="Calibri"/>
                <w:b/>
                <w:bCs/>
                <w:kern w:val="24"/>
                <w:sz w:val="24"/>
                <w:szCs w:val="24"/>
              </w:rPr>
            </w:pPr>
            <w:r w:rsidRPr="00C848EB">
              <w:rPr>
                <w:rFonts w:ascii="Calibri" w:hAnsi="Calibri" w:cs="Calibri"/>
                <w:b/>
                <w:bCs/>
                <w:kern w:val="24"/>
                <w:sz w:val="24"/>
                <w:szCs w:val="24"/>
              </w:rPr>
              <w:t xml:space="preserve">Instructor: </w:t>
            </w:r>
            <w:r w:rsidR="000F3387" w:rsidRPr="000F3387">
              <w:rPr>
                <w:rFonts w:ascii="Calibri" w:hAnsi="Calibri" w:cs="Calibri"/>
                <w:kern w:val="24"/>
                <w:sz w:val="24"/>
                <w:szCs w:val="24"/>
              </w:rPr>
              <w:t xml:space="preserve">Now let's talk about Duties of a Supervising Broker. This section now refers directly to code </w:t>
            </w:r>
            <w:proofErr w:type="gramStart"/>
            <w:r w:rsidR="000F3387" w:rsidRPr="000F3387">
              <w:rPr>
                <w:rFonts w:ascii="Calibri" w:hAnsi="Calibri" w:cs="Calibri"/>
                <w:kern w:val="24"/>
                <w:sz w:val="24"/>
                <w:szCs w:val="24"/>
              </w:rPr>
              <w:t>section  §</w:t>
            </w:r>
            <w:proofErr w:type="gramEnd"/>
            <w:r w:rsidR="000F3387" w:rsidRPr="000F3387">
              <w:rPr>
                <w:rFonts w:ascii="Calibri" w:hAnsi="Calibri" w:cs="Calibri"/>
                <w:kern w:val="24"/>
                <w:sz w:val="24"/>
                <w:szCs w:val="24"/>
              </w:rPr>
              <w:t xml:space="preserve"> 54.1-2110.1 where </w:t>
            </w:r>
            <w:proofErr w:type="gramStart"/>
            <w:r w:rsidR="000F3387" w:rsidRPr="000F3387">
              <w:rPr>
                <w:rFonts w:ascii="Calibri" w:hAnsi="Calibri" w:cs="Calibri"/>
                <w:kern w:val="24"/>
                <w:sz w:val="24"/>
                <w:szCs w:val="24"/>
              </w:rPr>
              <w:t>all of</w:t>
            </w:r>
            <w:proofErr w:type="gramEnd"/>
            <w:r w:rsidR="000F3387" w:rsidRPr="000F3387">
              <w:rPr>
                <w:rFonts w:ascii="Calibri" w:hAnsi="Calibri" w:cs="Calibri"/>
                <w:kern w:val="24"/>
                <w:sz w:val="24"/>
                <w:szCs w:val="24"/>
              </w:rPr>
              <w:t xml:space="preserve"> the broker supervision requirements that we know and love are found. Two things to note here are the explicit broker supervision duty to "provide supervision of broker services in a timely manner."  That means brokers must respond to agents in a timely manner. There is also a new requirement that brokers "act with reasonable diligence and promptness in responding to inquiries from cooperating brokers."  This is the new language that prompted a definition of "cooperating broker" be added to the regulations. What does this mean? That brokers must respond promptly to inquiries from brokers on the other side of a transaction.</w:t>
            </w:r>
          </w:p>
          <w:p w14:paraId="499AF856" w14:textId="67DD5537" w:rsidR="00035CB3" w:rsidRPr="00C97E85" w:rsidRDefault="00035CB3" w:rsidP="00C848EB">
            <w:pPr>
              <w:autoSpaceDE w:val="0"/>
              <w:autoSpaceDN w:val="0"/>
              <w:adjustRightInd w:val="0"/>
              <w:spacing w:line="240" w:lineRule="auto"/>
              <w:jc w:val="left"/>
              <w:rPr>
                <w:rFonts w:ascii="Calibri" w:hAnsi="Calibri" w:cs="Calibri"/>
                <w:kern w:val="0"/>
                <w:sz w:val="24"/>
                <w:szCs w:val="24"/>
              </w:rPr>
            </w:pPr>
          </w:p>
          <w:p w14:paraId="62A8A943" w14:textId="77777777" w:rsidR="00035CB3" w:rsidRPr="00C97E85" w:rsidRDefault="00035CB3" w:rsidP="00C848EB">
            <w:pPr>
              <w:jc w:val="left"/>
              <w:rPr>
                <w:rFonts w:ascii="Calibri" w:hAnsi="Calibri" w:cs="Calibri"/>
                <w:sz w:val="24"/>
                <w:szCs w:val="24"/>
              </w:rPr>
            </w:pPr>
          </w:p>
        </w:tc>
      </w:tr>
      <w:tr w:rsidR="00035CB3" w14:paraId="2942CD7F" w14:textId="77777777" w:rsidTr="00035CB3">
        <w:trPr>
          <w:trHeight w:val="4000"/>
        </w:trPr>
        <w:tc>
          <w:tcPr>
            <w:tcW w:w="1368" w:type="dxa"/>
            <w:vAlign w:val="center"/>
          </w:tcPr>
          <w:p w14:paraId="3D1ABDDB" w14:textId="18C9EBDD" w:rsidR="00035CB3" w:rsidRDefault="00035CB3" w:rsidP="00035CB3">
            <w:r>
              <w:t>Slide 4</w:t>
            </w:r>
          </w:p>
        </w:tc>
        <w:tc>
          <w:tcPr>
            <w:tcW w:w="3996" w:type="dxa"/>
            <w:vAlign w:val="center"/>
          </w:tcPr>
          <w:p w14:paraId="45F25825" w14:textId="781CBB28" w:rsidR="00035CB3" w:rsidRDefault="00C848EB" w:rsidP="00035CB3">
            <w:r w:rsidRPr="00C848EB">
              <w:rPr>
                <w:noProof/>
              </w:rPr>
              <w:drawing>
                <wp:inline distT="0" distB="0" distL="0" distR="0" wp14:anchorId="0144D3AA" wp14:editId="22A1D298">
                  <wp:extent cx="2400017" cy="1350010"/>
                  <wp:effectExtent l="0" t="0" r="635" b="0"/>
                  <wp:docPr id="16126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926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3F3F0F7E" w14:textId="2D758C99" w:rsidR="00C848EB" w:rsidRPr="00C848EB" w:rsidRDefault="00C848EB" w:rsidP="00C848EB">
            <w:pPr>
              <w:autoSpaceDE w:val="0"/>
              <w:autoSpaceDN w:val="0"/>
              <w:adjustRightInd w:val="0"/>
              <w:jc w:val="left"/>
              <w:rPr>
                <w:rFonts w:ascii="Calibri" w:hAnsi="Calibri" w:cs="Calibri"/>
                <w:b/>
                <w:bCs/>
                <w:kern w:val="24"/>
                <w:sz w:val="24"/>
                <w:szCs w:val="24"/>
              </w:rPr>
            </w:pPr>
            <w:r w:rsidRPr="00C848EB">
              <w:rPr>
                <w:rFonts w:ascii="Calibri" w:hAnsi="Calibri" w:cs="Calibri"/>
                <w:b/>
                <w:bCs/>
                <w:kern w:val="24"/>
                <w:sz w:val="24"/>
                <w:szCs w:val="24"/>
              </w:rPr>
              <w:t xml:space="preserve">Instructor: </w:t>
            </w:r>
            <w:r w:rsidR="000F3387" w:rsidRPr="000F3387">
              <w:rPr>
                <w:rFonts w:ascii="Calibri" w:hAnsi="Calibri" w:cs="Calibri"/>
                <w:kern w:val="24"/>
                <w:sz w:val="24"/>
                <w:szCs w:val="24"/>
              </w:rPr>
              <w:t>The old regulation, which stated that unlicensed assistants could only be compensated “at a predetermined rate that is not contingent upon the occurrence of a real estate transaction” has been removed. This means that if a firm prefers to pay unlicensed assistants on a per transaction basis, they may do so.</w:t>
            </w:r>
          </w:p>
          <w:p w14:paraId="50F8843F" w14:textId="0BD7CFDD" w:rsidR="00035CB3" w:rsidRPr="00C97E85" w:rsidRDefault="00035CB3" w:rsidP="00C848EB">
            <w:pPr>
              <w:autoSpaceDE w:val="0"/>
              <w:autoSpaceDN w:val="0"/>
              <w:adjustRightInd w:val="0"/>
              <w:spacing w:line="240" w:lineRule="auto"/>
              <w:jc w:val="left"/>
              <w:rPr>
                <w:rFonts w:ascii="Calibri" w:hAnsi="Calibri" w:cs="Calibri"/>
                <w:b/>
                <w:bCs/>
                <w:kern w:val="24"/>
                <w:sz w:val="24"/>
                <w:szCs w:val="24"/>
              </w:rPr>
            </w:pPr>
          </w:p>
          <w:p w14:paraId="68F63B47" w14:textId="77777777" w:rsidR="00035CB3" w:rsidRPr="00C97E85" w:rsidRDefault="00035CB3" w:rsidP="00C848EB">
            <w:pPr>
              <w:autoSpaceDE w:val="0"/>
              <w:autoSpaceDN w:val="0"/>
              <w:adjustRightInd w:val="0"/>
              <w:spacing w:line="240" w:lineRule="auto"/>
              <w:jc w:val="left"/>
              <w:rPr>
                <w:rFonts w:ascii="Calibri" w:hAnsi="Calibri" w:cs="Calibri"/>
                <w:kern w:val="0"/>
                <w:sz w:val="24"/>
                <w:szCs w:val="24"/>
              </w:rPr>
            </w:pPr>
          </w:p>
          <w:p w14:paraId="7D2C5842" w14:textId="77777777" w:rsidR="00035CB3" w:rsidRPr="00C97E85" w:rsidRDefault="00035CB3" w:rsidP="00C848EB">
            <w:pPr>
              <w:jc w:val="left"/>
              <w:rPr>
                <w:rFonts w:ascii="Calibri" w:hAnsi="Calibri" w:cs="Calibri"/>
                <w:sz w:val="24"/>
                <w:szCs w:val="24"/>
              </w:rPr>
            </w:pPr>
          </w:p>
        </w:tc>
      </w:tr>
      <w:tr w:rsidR="00035CB3" w14:paraId="1B0E4D17" w14:textId="77777777" w:rsidTr="00035CB3">
        <w:trPr>
          <w:trHeight w:val="4000"/>
        </w:trPr>
        <w:tc>
          <w:tcPr>
            <w:tcW w:w="1368" w:type="dxa"/>
            <w:vAlign w:val="center"/>
          </w:tcPr>
          <w:p w14:paraId="7765DEDF" w14:textId="506394D8" w:rsidR="00035CB3" w:rsidRDefault="00035CB3" w:rsidP="00035CB3">
            <w:r>
              <w:lastRenderedPageBreak/>
              <w:t>Slide 5</w:t>
            </w:r>
          </w:p>
        </w:tc>
        <w:tc>
          <w:tcPr>
            <w:tcW w:w="3996" w:type="dxa"/>
            <w:vAlign w:val="center"/>
          </w:tcPr>
          <w:p w14:paraId="1A24132A" w14:textId="78872CCD" w:rsidR="00035CB3" w:rsidRDefault="00C848EB" w:rsidP="00035CB3">
            <w:r w:rsidRPr="00C848EB">
              <w:rPr>
                <w:noProof/>
              </w:rPr>
              <w:drawing>
                <wp:inline distT="0" distB="0" distL="0" distR="0" wp14:anchorId="74CEB7D2" wp14:editId="0E0CF864">
                  <wp:extent cx="2400017" cy="1350010"/>
                  <wp:effectExtent l="0" t="0" r="635" b="0"/>
                  <wp:docPr id="722863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63622"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65F55475" w14:textId="77777777" w:rsidR="000F3387" w:rsidRPr="000F3387" w:rsidRDefault="00C848EB" w:rsidP="000F3387">
            <w:pPr>
              <w:autoSpaceDE w:val="0"/>
              <w:autoSpaceDN w:val="0"/>
              <w:adjustRightInd w:val="0"/>
              <w:jc w:val="left"/>
              <w:rPr>
                <w:rFonts w:ascii="Calibri" w:hAnsi="Calibri" w:cs="Calibri"/>
                <w:kern w:val="24"/>
                <w:sz w:val="24"/>
                <w:szCs w:val="24"/>
              </w:rPr>
            </w:pPr>
            <w:r w:rsidRPr="000F3387">
              <w:rPr>
                <w:rFonts w:ascii="Calibri" w:hAnsi="Calibri" w:cs="Calibri"/>
                <w:b/>
                <w:bCs/>
                <w:kern w:val="24"/>
                <w:sz w:val="24"/>
                <w:szCs w:val="24"/>
              </w:rPr>
              <w:t>Instructor:</w:t>
            </w:r>
            <w:r w:rsidRPr="000F3387">
              <w:rPr>
                <w:rFonts w:ascii="Calibri" w:hAnsi="Calibri" w:cs="Calibri"/>
                <w:kern w:val="24"/>
                <w:sz w:val="24"/>
                <w:szCs w:val="24"/>
              </w:rPr>
              <w:t xml:space="preserve"> </w:t>
            </w:r>
            <w:r w:rsidR="000F3387" w:rsidRPr="000F3387">
              <w:rPr>
                <w:rFonts w:ascii="Calibri" w:hAnsi="Calibri" w:cs="Calibri"/>
                <w:kern w:val="24"/>
                <w:sz w:val="24"/>
                <w:szCs w:val="24"/>
              </w:rPr>
              <w:t>As far as substantive changes regarding escrow, there is no longer a mandatory three-day reporting requirement for brokers who learn of escrow violations from their agents. That means if a broker finds out their agent has committed an escrow violation, the broker no longer needs to report them to the Real Estate Board. However, brokers must still supervise their agents and it is likely that if there are repeated instances of escrow violations coming from a firm, the broker could be held in violation. For agents, even though the reporting requirement is gone, an escrow violation is still a violation under the regs, meaning you could be liable if someone else brings it to the board.</w:t>
            </w:r>
          </w:p>
          <w:p w14:paraId="55065DAE" w14:textId="0FB60359" w:rsidR="00C848EB" w:rsidRPr="00C848EB" w:rsidRDefault="00C848EB" w:rsidP="00C848EB">
            <w:pPr>
              <w:autoSpaceDE w:val="0"/>
              <w:autoSpaceDN w:val="0"/>
              <w:adjustRightInd w:val="0"/>
              <w:jc w:val="left"/>
              <w:rPr>
                <w:rFonts w:ascii="Calibri" w:hAnsi="Calibri" w:cs="Calibri"/>
                <w:kern w:val="24"/>
                <w:sz w:val="24"/>
                <w:szCs w:val="24"/>
              </w:rPr>
            </w:pPr>
          </w:p>
          <w:p w14:paraId="74FFF95D" w14:textId="77777777" w:rsidR="00035CB3" w:rsidRPr="00C97E85" w:rsidRDefault="00035CB3" w:rsidP="00035CB3">
            <w:pPr>
              <w:rPr>
                <w:rFonts w:ascii="Calibri" w:hAnsi="Calibri" w:cs="Calibri"/>
                <w:sz w:val="24"/>
                <w:szCs w:val="24"/>
              </w:rPr>
            </w:pPr>
          </w:p>
        </w:tc>
      </w:tr>
      <w:tr w:rsidR="00035CB3" w14:paraId="1DADA634" w14:textId="77777777" w:rsidTr="00035CB3">
        <w:trPr>
          <w:trHeight w:val="4000"/>
        </w:trPr>
        <w:tc>
          <w:tcPr>
            <w:tcW w:w="1368" w:type="dxa"/>
            <w:vAlign w:val="center"/>
          </w:tcPr>
          <w:p w14:paraId="57F3A793" w14:textId="7164CB8A" w:rsidR="00035CB3" w:rsidRDefault="00035CB3" w:rsidP="00035CB3">
            <w:r>
              <w:t>Slide 6</w:t>
            </w:r>
          </w:p>
        </w:tc>
        <w:tc>
          <w:tcPr>
            <w:tcW w:w="3996" w:type="dxa"/>
            <w:vAlign w:val="center"/>
          </w:tcPr>
          <w:p w14:paraId="39709981" w14:textId="430E5D15" w:rsidR="00035CB3" w:rsidRDefault="00C848EB" w:rsidP="00035CB3">
            <w:r w:rsidRPr="00C848EB">
              <w:rPr>
                <w:noProof/>
              </w:rPr>
              <w:drawing>
                <wp:inline distT="0" distB="0" distL="0" distR="0" wp14:anchorId="1915D97B" wp14:editId="26FB342A">
                  <wp:extent cx="2400017" cy="1350010"/>
                  <wp:effectExtent l="0" t="0" r="635" b="0"/>
                  <wp:docPr id="5950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4022"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61663DF6" w14:textId="3183247A" w:rsidR="000F3387" w:rsidRPr="00C848EB" w:rsidRDefault="00C848EB" w:rsidP="000F3387">
            <w:pPr>
              <w:autoSpaceDE w:val="0"/>
              <w:autoSpaceDN w:val="0"/>
              <w:adjustRightInd w:val="0"/>
              <w:jc w:val="left"/>
              <w:rPr>
                <w:rFonts w:ascii="Calibri" w:hAnsi="Calibri" w:cs="Calibri"/>
                <w:kern w:val="24"/>
                <w:sz w:val="24"/>
                <w:szCs w:val="24"/>
              </w:rPr>
            </w:pPr>
            <w:r w:rsidRPr="00C848EB">
              <w:rPr>
                <w:rFonts w:ascii="Calibri" w:hAnsi="Calibri" w:cs="Calibri"/>
                <w:b/>
                <w:bCs/>
                <w:kern w:val="24"/>
                <w:sz w:val="24"/>
                <w:szCs w:val="24"/>
              </w:rPr>
              <w:t>Instructor:</w:t>
            </w:r>
            <w:r w:rsidRPr="00C848EB">
              <w:rPr>
                <w:rFonts w:ascii="Calibri" w:hAnsi="Calibri" w:cs="Calibri"/>
                <w:kern w:val="24"/>
                <w:sz w:val="24"/>
                <w:szCs w:val="24"/>
              </w:rPr>
              <w:t xml:space="preserve"> </w:t>
            </w:r>
          </w:p>
          <w:p w14:paraId="7FEC0D96"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A big change with advertising is that the distinction between digital advertising, print advertising, signs, and business cards is gone.  Advertising is advertising and the disclosure requirements apply universally to firms and licensees. There is no more viewable page, or one click rule. </w:t>
            </w:r>
          </w:p>
          <w:p w14:paraId="1DD23558"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The requirement now, for ALL advertising is that you must have a clear, legible, and conspicuous disclosure of your: (1) Firm Name AND (2) Contact information. </w:t>
            </w:r>
          </w:p>
          <w:p w14:paraId="24554291"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This is where the new definition of “contact information” comes in. The new definition says contact </w:t>
            </w:r>
            <w:r w:rsidRPr="000F3387">
              <w:rPr>
                <w:rFonts w:ascii="Calibri" w:hAnsi="Calibri" w:cs="Calibri"/>
                <w:kern w:val="24"/>
                <w:sz w:val="24"/>
                <w:szCs w:val="24"/>
              </w:rPr>
              <w:lastRenderedPageBreak/>
              <w:t xml:space="preserve">information is a (1) telephone number; (2) email address; (3) web address of the firm or branch office; OR a digital link thereto if you are using digital advertising. </w:t>
            </w:r>
          </w:p>
          <w:p w14:paraId="75E78718" w14:textId="77777777" w:rsidR="000F3387" w:rsidRPr="000F3387" w:rsidRDefault="000F3387" w:rsidP="000F3387">
            <w:pPr>
              <w:autoSpaceDE w:val="0"/>
              <w:autoSpaceDN w:val="0"/>
              <w:adjustRightInd w:val="0"/>
              <w:jc w:val="left"/>
              <w:rPr>
                <w:rFonts w:ascii="Calibri" w:hAnsi="Calibri" w:cs="Calibri"/>
                <w:kern w:val="24"/>
                <w:sz w:val="24"/>
                <w:szCs w:val="24"/>
              </w:rPr>
            </w:pPr>
            <w:proofErr w:type="gramStart"/>
            <w:r w:rsidRPr="000F3387">
              <w:rPr>
                <w:rFonts w:ascii="Calibri" w:hAnsi="Calibri" w:cs="Calibri"/>
                <w:kern w:val="24"/>
                <w:sz w:val="24"/>
                <w:szCs w:val="24"/>
              </w:rPr>
              <w:t>So</w:t>
            </w:r>
            <w:proofErr w:type="gramEnd"/>
            <w:r w:rsidRPr="000F3387">
              <w:rPr>
                <w:rFonts w:ascii="Calibri" w:hAnsi="Calibri" w:cs="Calibri"/>
                <w:kern w:val="24"/>
                <w:sz w:val="24"/>
                <w:szCs w:val="24"/>
              </w:rPr>
              <w:t xml:space="preserve"> you might ask, which one do I use? Well, that is up to each brokerage. Brokers must have a written office policy that states what contact information they want licensees to include in their advertising.  It MUST contain one of the items listed in the definition of contact information and then anything else the broker decides they want to include. </w:t>
            </w:r>
          </w:p>
          <w:p w14:paraId="475BF27A" w14:textId="68C7F69B" w:rsidR="00035CB3" w:rsidRPr="00C848EB" w:rsidRDefault="00035CB3" w:rsidP="00C848EB">
            <w:pPr>
              <w:autoSpaceDE w:val="0"/>
              <w:autoSpaceDN w:val="0"/>
              <w:adjustRightInd w:val="0"/>
              <w:spacing w:line="240" w:lineRule="auto"/>
              <w:jc w:val="left"/>
              <w:rPr>
                <w:rFonts w:ascii="Calibri" w:hAnsi="Calibri" w:cs="Calibri"/>
                <w:kern w:val="24"/>
                <w:sz w:val="24"/>
                <w:szCs w:val="24"/>
              </w:rPr>
            </w:pPr>
          </w:p>
          <w:p w14:paraId="2FBDC14E" w14:textId="77777777" w:rsidR="00035CB3" w:rsidRPr="00C848EB" w:rsidRDefault="00035CB3" w:rsidP="00C848EB">
            <w:pPr>
              <w:jc w:val="left"/>
              <w:rPr>
                <w:rFonts w:ascii="Calibri" w:hAnsi="Calibri" w:cs="Calibri"/>
                <w:sz w:val="24"/>
                <w:szCs w:val="24"/>
              </w:rPr>
            </w:pPr>
          </w:p>
        </w:tc>
      </w:tr>
      <w:tr w:rsidR="00035CB3" w14:paraId="4928E297" w14:textId="77777777" w:rsidTr="00035CB3">
        <w:trPr>
          <w:trHeight w:val="4000"/>
        </w:trPr>
        <w:tc>
          <w:tcPr>
            <w:tcW w:w="1368" w:type="dxa"/>
            <w:vAlign w:val="center"/>
          </w:tcPr>
          <w:p w14:paraId="6ED94CE7" w14:textId="23D98D3C" w:rsidR="00035CB3" w:rsidRDefault="00035CB3" w:rsidP="00035CB3">
            <w:r>
              <w:lastRenderedPageBreak/>
              <w:t>Slide 7</w:t>
            </w:r>
          </w:p>
        </w:tc>
        <w:tc>
          <w:tcPr>
            <w:tcW w:w="3996" w:type="dxa"/>
            <w:vAlign w:val="center"/>
          </w:tcPr>
          <w:p w14:paraId="21681FD3" w14:textId="272C0E43" w:rsidR="00035CB3" w:rsidRDefault="00C848EB" w:rsidP="00035CB3">
            <w:r w:rsidRPr="00C848EB">
              <w:rPr>
                <w:noProof/>
              </w:rPr>
              <w:drawing>
                <wp:inline distT="0" distB="0" distL="0" distR="0" wp14:anchorId="602BDE27" wp14:editId="525BCE03">
                  <wp:extent cx="2400017" cy="1350010"/>
                  <wp:effectExtent l="0" t="0" r="635" b="0"/>
                  <wp:docPr id="24691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16884"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1AD35B92" w14:textId="77777777" w:rsidR="000F3387" w:rsidRPr="000F3387" w:rsidRDefault="00C848EB" w:rsidP="000F3387">
            <w:pPr>
              <w:autoSpaceDE w:val="0"/>
              <w:autoSpaceDN w:val="0"/>
              <w:adjustRightInd w:val="0"/>
              <w:jc w:val="left"/>
              <w:rPr>
                <w:rFonts w:ascii="Calibri" w:hAnsi="Calibri" w:cs="Calibri"/>
                <w:kern w:val="24"/>
                <w:sz w:val="24"/>
                <w:szCs w:val="24"/>
              </w:rPr>
            </w:pPr>
            <w:r w:rsidRPr="000F3387">
              <w:rPr>
                <w:rFonts w:ascii="Calibri" w:hAnsi="Calibri" w:cs="Calibri"/>
                <w:b/>
                <w:bCs/>
                <w:kern w:val="24"/>
                <w:sz w:val="24"/>
                <w:szCs w:val="24"/>
              </w:rPr>
              <w:t>Instructor:</w:t>
            </w:r>
            <w:r w:rsidRPr="000F3387">
              <w:rPr>
                <w:rFonts w:ascii="Calibri" w:hAnsi="Calibri" w:cs="Calibri"/>
                <w:kern w:val="24"/>
                <w:sz w:val="24"/>
                <w:szCs w:val="24"/>
              </w:rPr>
              <w:t xml:space="preserve">  </w:t>
            </w:r>
            <w:r w:rsidR="000F3387" w:rsidRPr="000F3387">
              <w:rPr>
                <w:rFonts w:ascii="Calibri" w:hAnsi="Calibri" w:cs="Calibri"/>
                <w:kern w:val="24"/>
                <w:sz w:val="24"/>
                <w:szCs w:val="24"/>
              </w:rPr>
              <w:t>There is also a requirement that all advertising is updated timely. If the property contract status or condition changes, you must update your advertising. If you don't control the advertisement, meaning a third-party online service controls the ad, you must make a request in writing for the ad to be updated. Previously this was only a requirement for electronic advertising, now it applies to all advertising.</w:t>
            </w:r>
          </w:p>
          <w:p w14:paraId="396CA6E3" w14:textId="77777777" w:rsidR="000F3387" w:rsidRPr="000F3387" w:rsidRDefault="000F3387" w:rsidP="000F3387">
            <w:pPr>
              <w:autoSpaceDE w:val="0"/>
              <w:autoSpaceDN w:val="0"/>
              <w:adjustRightInd w:val="0"/>
              <w:jc w:val="left"/>
              <w:rPr>
                <w:rFonts w:ascii="Calibri" w:hAnsi="Calibri" w:cs="Calibri"/>
                <w:kern w:val="24"/>
                <w:sz w:val="24"/>
                <w:szCs w:val="24"/>
              </w:rPr>
            </w:pPr>
            <w:r w:rsidRPr="000F3387">
              <w:rPr>
                <w:rFonts w:ascii="Calibri" w:hAnsi="Calibri" w:cs="Calibri"/>
                <w:kern w:val="24"/>
                <w:sz w:val="24"/>
                <w:szCs w:val="24"/>
              </w:rPr>
              <w:t xml:space="preserve">For example, if a property is listed on your website, or social media as active, and it goes under contract, you must update the advertisement. If you are advertising a house with a barn, and the barn burns down, you must update the advertisement. </w:t>
            </w:r>
          </w:p>
          <w:p w14:paraId="076FE5E6" w14:textId="184B2ACF" w:rsidR="00C97E85" w:rsidRPr="00C97E85" w:rsidRDefault="00C97E85" w:rsidP="00B430CA">
            <w:pPr>
              <w:autoSpaceDE w:val="0"/>
              <w:autoSpaceDN w:val="0"/>
              <w:adjustRightInd w:val="0"/>
              <w:spacing w:line="240" w:lineRule="auto"/>
              <w:jc w:val="both"/>
              <w:rPr>
                <w:rFonts w:ascii="Calibri" w:hAnsi="Calibri" w:cs="Calibri"/>
                <w:kern w:val="0"/>
                <w:sz w:val="24"/>
                <w:szCs w:val="24"/>
              </w:rPr>
            </w:pPr>
          </w:p>
          <w:p w14:paraId="32999654" w14:textId="77777777" w:rsidR="00035CB3" w:rsidRPr="00C97E85" w:rsidRDefault="00035CB3" w:rsidP="00035CB3">
            <w:pPr>
              <w:rPr>
                <w:rFonts w:ascii="Calibri" w:hAnsi="Calibri" w:cs="Calibri"/>
                <w:sz w:val="24"/>
                <w:szCs w:val="24"/>
              </w:rPr>
            </w:pPr>
          </w:p>
        </w:tc>
      </w:tr>
      <w:tr w:rsidR="00035CB3" w14:paraId="46486D02" w14:textId="77777777" w:rsidTr="004B4F78">
        <w:trPr>
          <w:trHeight w:val="1970"/>
        </w:trPr>
        <w:tc>
          <w:tcPr>
            <w:tcW w:w="1368" w:type="dxa"/>
            <w:vAlign w:val="center"/>
          </w:tcPr>
          <w:p w14:paraId="366CF101" w14:textId="4024523C" w:rsidR="00035CB3" w:rsidRDefault="00035CB3" w:rsidP="00035CB3">
            <w:r>
              <w:lastRenderedPageBreak/>
              <w:t>Slide 8</w:t>
            </w:r>
          </w:p>
        </w:tc>
        <w:tc>
          <w:tcPr>
            <w:tcW w:w="3996" w:type="dxa"/>
            <w:vAlign w:val="center"/>
          </w:tcPr>
          <w:p w14:paraId="0C667DEC" w14:textId="7AB05F15" w:rsidR="00035CB3" w:rsidRDefault="00C848EB" w:rsidP="00035CB3">
            <w:r w:rsidRPr="00C848EB">
              <w:rPr>
                <w:noProof/>
              </w:rPr>
              <w:drawing>
                <wp:inline distT="0" distB="0" distL="0" distR="0" wp14:anchorId="5B3CA2FC" wp14:editId="068FB693">
                  <wp:extent cx="2400017" cy="1350010"/>
                  <wp:effectExtent l="0" t="0" r="635" b="0"/>
                  <wp:docPr id="166016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6613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0EE5FFF0" w14:textId="77777777" w:rsidR="000F3387" w:rsidRPr="000F3387" w:rsidRDefault="00035CB3" w:rsidP="000F3387">
            <w:pPr>
              <w:autoSpaceDE w:val="0"/>
              <w:autoSpaceDN w:val="0"/>
              <w:adjustRightInd w:val="0"/>
              <w:jc w:val="left"/>
              <w:rPr>
                <w:rFonts w:ascii="Calibri" w:hAnsi="Calibri" w:cs="Calibri"/>
                <w:kern w:val="24"/>
                <w:sz w:val="24"/>
                <w:szCs w:val="24"/>
              </w:rPr>
            </w:pPr>
            <w:r w:rsidRPr="000F3387">
              <w:rPr>
                <w:rFonts w:ascii="Calibri" w:hAnsi="Calibri" w:cs="Calibri"/>
                <w:b/>
                <w:bCs/>
                <w:kern w:val="24"/>
                <w:sz w:val="24"/>
                <w:szCs w:val="24"/>
              </w:rPr>
              <w:t xml:space="preserve">Instructor: </w:t>
            </w:r>
            <w:r w:rsidR="000F3387" w:rsidRPr="000F3387">
              <w:rPr>
                <w:rFonts w:ascii="Calibri" w:hAnsi="Calibri" w:cs="Calibri"/>
                <w:kern w:val="24"/>
                <w:sz w:val="24"/>
                <w:szCs w:val="24"/>
              </w:rPr>
              <w:t>Another change is access to a property. Previously the regs stated that you couldn’t allow unsupervised access to a home without the owner’s authorization. Now the regs say that any unauthorized activity is prohibited, supervised or not. Any access to property without the owner’s authorization is a violation, regardless of whether you’re there.</w:t>
            </w:r>
          </w:p>
          <w:p w14:paraId="6D164067" w14:textId="2898559B" w:rsidR="00C848EB" w:rsidRPr="00C848EB" w:rsidRDefault="00C848EB" w:rsidP="00C848EB">
            <w:pPr>
              <w:autoSpaceDE w:val="0"/>
              <w:autoSpaceDN w:val="0"/>
              <w:adjustRightInd w:val="0"/>
              <w:jc w:val="left"/>
              <w:rPr>
                <w:rFonts w:ascii="Calibri" w:hAnsi="Calibri" w:cs="Calibri"/>
                <w:kern w:val="24"/>
                <w:sz w:val="24"/>
                <w:szCs w:val="24"/>
              </w:rPr>
            </w:pPr>
          </w:p>
          <w:p w14:paraId="52F96FF2" w14:textId="09B18E22" w:rsidR="00B430CA" w:rsidRPr="00C97E85" w:rsidRDefault="00B430CA" w:rsidP="00B430CA">
            <w:pPr>
              <w:jc w:val="both"/>
              <w:rPr>
                <w:rFonts w:ascii="Calibri" w:hAnsi="Calibri" w:cs="Calibri"/>
                <w:sz w:val="24"/>
                <w:szCs w:val="24"/>
              </w:rPr>
            </w:pPr>
          </w:p>
        </w:tc>
      </w:tr>
      <w:tr w:rsidR="00035CB3" w14:paraId="63C2C0E2" w14:textId="77777777" w:rsidTr="00035CB3">
        <w:trPr>
          <w:trHeight w:val="4000"/>
        </w:trPr>
        <w:tc>
          <w:tcPr>
            <w:tcW w:w="1368" w:type="dxa"/>
            <w:vAlign w:val="center"/>
          </w:tcPr>
          <w:p w14:paraId="660922FE" w14:textId="443FB4C1" w:rsidR="00035CB3" w:rsidRDefault="00035CB3" w:rsidP="00035CB3">
            <w:r>
              <w:t>Slide 9</w:t>
            </w:r>
          </w:p>
        </w:tc>
        <w:tc>
          <w:tcPr>
            <w:tcW w:w="3996" w:type="dxa"/>
            <w:vAlign w:val="center"/>
          </w:tcPr>
          <w:p w14:paraId="07905307" w14:textId="7F10831C" w:rsidR="00035CB3" w:rsidRDefault="00C848EB" w:rsidP="00035CB3">
            <w:r w:rsidRPr="00C848EB">
              <w:rPr>
                <w:noProof/>
              </w:rPr>
              <w:drawing>
                <wp:inline distT="0" distB="0" distL="0" distR="0" wp14:anchorId="3782D883" wp14:editId="0C3FCC5D">
                  <wp:extent cx="2400017" cy="1350010"/>
                  <wp:effectExtent l="0" t="0" r="635" b="0"/>
                  <wp:docPr id="122668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8480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3DB1D5D6" w14:textId="77777777" w:rsidR="000F3387" w:rsidRPr="000F3387" w:rsidRDefault="00C848EB" w:rsidP="000F3387">
            <w:pPr>
              <w:jc w:val="left"/>
              <w:rPr>
                <w:rFonts w:ascii="Calibri" w:hAnsi="Calibri" w:cs="Calibri"/>
                <w:sz w:val="24"/>
                <w:szCs w:val="24"/>
              </w:rPr>
            </w:pPr>
            <w:r w:rsidRPr="000F3387">
              <w:rPr>
                <w:rFonts w:ascii="Calibri" w:hAnsi="Calibri" w:cs="Calibri"/>
                <w:b/>
                <w:bCs/>
                <w:sz w:val="24"/>
                <w:szCs w:val="24"/>
              </w:rPr>
              <w:t>Instructor:</w:t>
            </w:r>
            <w:r w:rsidRPr="000F3387">
              <w:rPr>
                <w:rFonts w:ascii="Calibri" w:hAnsi="Calibri" w:cs="Calibri"/>
                <w:sz w:val="24"/>
                <w:szCs w:val="24"/>
              </w:rPr>
              <w:t xml:space="preserve">  </w:t>
            </w:r>
            <w:r w:rsidR="000F3387" w:rsidRPr="000F3387">
              <w:rPr>
                <w:rFonts w:ascii="Calibri" w:hAnsi="Calibri" w:cs="Calibri"/>
                <w:sz w:val="24"/>
                <w:szCs w:val="24"/>
              </w:rPr>
              <w:t xml:space="preserve">The prohibition against performing any regulatory activities outside of your brokerage firm still exists, but now there is a very big exception.  The new language says, "except for instances in which the licensee has an ownership interest in a property." This is significant for agents who own properties that they manage for themselves. But remember, brokers have the final say as to what is and is not allowed, so always check with your broker. </w:t>
            </w:r>
          </w:p>
          <w:p w14:paraId="57F169E2" w14:textId="6A65434A" w:rsidR="00C848EB" w:rsidRPr="000F3387" w:rsidRDefault="00C848EB" w:rsidP="000F3387">
            <w:pPr>
              <w:jc w:val="left"/>
              <w:rPr>
                <w:rFonts w:ascii="Calibri" w:hAnsi="Calibri" w:cs="Calibri"/>
                <w:sz w:val="24"/>
                <w:szCs w:val="24"/>
              </w:rPr>
            </w:pPr>
          </w:p>
          <w:p w14:paraId="46CDE479" w14:textId="77777777" w:rsidR="00035CB3" w:rsidRPr="000F3387" w:rsidRDefault="00035CB3" w:rsidP="000F3387">
            <w:pPr>
              <w:jc w:val="left"/>
              <w:rPr>
                <w:rFonts w:ascii="Calibri" w:hAnsi="Calibri" w:cs="Calibri"/>
                <w:sz w:val="24"/>
                <w:szCs w:val="24"/>
              </w:rPr>
            </w:pPr>
          </w:p>
        </w:tc>
      </w:tr>
      <w:tr w:rsidR="00C848EB" w14:paraId="3BDF9004" w14:textId="77777777" w:rsidTr="00035CB3">
        <w:trPr>
          <w:trHeight w:val="4000"/>
        </w:trPr>
        <w:tc>
          <w:tcPr>
            <w:tcW w:w="1368" w:type="dxa"/>
            <w:vAlign w:val="center"/>
          </w:tcPr>
          <w:p w14:paraId="641C6335" w14:textId="476E2A36" w:rsidR="00C848EB" w:rsidRDefault="00C848EB" w:rsidP="00035CB3">
            <w:r>
              <w:t>Slide 10</w:t>
            </w:r>
          </w:p>
        </w:tc>
        <w:tc>
          <w:tcPr>
            <w:tcW w:w="3996" w:type="dxa"/>
            <w:vAlign w:val="center"/>
          </w:tcPr>
          <w:p w14:paraId="3016E16A" w14:textId="05E82CFB" w:rsidR="00C848EB" w:rsidRPr="004B4F78" w:rsidRDefault="00C848EB" w:rsidP="00035CB3">
            <w:pPr>
              <w:rPr>
                <w:noProof/>
              </w:rPr>
            </w:pPr>
            <w:r w:rsidRPr="00C848EB">
              <w:rPr>
                <w:noProof/>
              </w:rPr>
              <w:drawing>
                <wp:inline distT="0" distB="0" distL="0" distR="0" wp14:anchorId="37123D60" wp14:editId="7DB462D0">
                  <wp:extent cx="2400017" cy="1350010"/>
                  <wp:effectExtent l="0" t="0" r="635" b="0"/>
                  <wp:docPr id="101601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1408"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78D26E54" w14:textId="6BF28CE5" w:rsidR="00C848EB" w:rsidRPr="00C97E85" w:rsidRDefault="00C848EB" w:rsidP="000F3387">
            <w:pPr>
              <w:jc w:val="left"/>
              <w:rPr>
                <w:rFonts w:ascii="Calibri" w:hAnsi="Calibri" w:cs="Calibri"/>
                <w:sz w:val="24"/>
                <w:szCs w:val="24"/>
              </w:rPr>
            </w:pPr>
            <w:r w:rsidRPr="000F3387">
              <w:rPr>
                <w:rFonts w:ascii="Calibri" w:hAnsi="Calibri" w:cs="Calibri"/>
                <w:b/>
                <w:bCs/>
                <w:sz w:val="24"/>
                <w:szCs w:val="24"/>
              </w:rPr>
              <w:t xml:space="preserve">Instructor: </w:t>
            </w:r>
            <w:r w:rsidR="000F3387" w:rsidRPr="000F3387">
              <w:rPr>
                <w:rFonts w:ascii="Calibri" w:hAnsi="Calibri" w:cs="Calibri"/>
                <w:sz w:val="24"/>
                <w:szCs w:val="24"/>
              </w:rPr>
              <w:t xml:space="preserve">There were a few important changes to Section 280, Improper Financial Transactions and Dealings. First, section 280 now states that a salesperson can receive compensation for licensed activity from someone other than the salesperson’s broker IF there is prior written consent from the principal broker. This means, for example, that a settlement agent, could cut a check </w:t>
            </w:r>
            <w:r w:rsidR="000F3387" w:rsidRPr="000F3387">
              <w:rPr>
                <w:rFonts w:ascii="Calibri" w:hAnsi="Calibri" w:cs="Calibri"/>
                <w:sz w:val="24"/>
                <w:szCs w:val="24"/>
              </w:rPr>
              <w:lastRenderedPageBreak/>
              <w:t>directly to a licensee if the principal broker has given prior written consent.</w:t>
            </w:r>
          </w:p>
        </w:tc>
      </w:tr>
      <w:tr w:rsidR="00C848EB" w14:paraId="78C64978" w14:textId="77777777" w:rsidTr="00035CB3">
        <w:trPr>
          <w:trHeight w:val="4000"/>
        </w:trPr>
        <w:tc>
          <w:tcPr>
            <w:tcW w:w="1368" w:type="dxa"/>
            <w:vAlign w:val="center"/>
          </w:tcPr>
          <w:p w14:paraId="4D658D6E" w14:textId="48CC9F82" w:rsidR="00C848EB" w:rsidRDefault="00C848EB" w:rsidP="00035CB3">
            <w:r>
              <w:lastRenderedPageBreak/>
              <w:t>Slide 11</w:t>
            </w:r>
          </w:p>
        </w:tc>
        <w:tc>
          <w:tcPr>
            <w:tcW w:w="3996" w:type="dxa"/>
            <w:vAlign w:val="center"/>
          </w:tcPr>
          <w:p w14:paraId="4BEF9279" w14:textId="24143461" w:rsidR="00C848EB" w:rsidRPr="004B4F78" w:rsidRDefault="00C848EB" w:rsidP="00035CB3">
            <w:pPr>
              <w:rPr>
                <w:noProof/>
              </w:rPr>
            </w:pPr>
            <w:r w:rsidRPr="00C848EB">
              <w:rPr>
                <w:noProof/>
              </w:rPr>
              <w:drawing>
                <wp:inline distT="0" distB="0" distL="0" distR="0" wp14:anchorId="362A3492" wp14:editId="0C96512A">
                  <wp:extent cx="2400017" cy="1350010"/>
                  <wp:effectExtent l="0" t="0" r="635" b="0"/>
                  <wp:docPr id="80210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03366"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4AECA003" w14:textId="7DB64A65" w:rsidR="00C848EB" w:rsidRPr="00C848EB" w:rsidRDefault="00C848EB" w:rsidP="00C848EB">
            <w:pPr>
              <w:jc w:val="left"/>
              <w:rPr>
                <w:rFonts w:ascii="Calibri" w:hAnsi="Calibri" w:cs="Calibri"/>
                <w:sz w:val="24"/>
                <w:szCs w:val="24"/>
              </w:rPr>
            </w:pPr>
            <w:r w:rsidRPr="00C848EB">
              <w:rPr>
                <w:rFonts w:ascii="Calibri" w:hAnsi="Calibri" w:cs="Calibri"/>
                <w:b/>
                <w:bCs/>
                <w:sz w:val="24"/>
                <w:szCs w:val="24"/>
              </w:rPr>
              <w:t xml:space="preserve">Instructor: </w:t>
            </w:r>
            <w:r w:rsidR="000F3387" w:rsidRPr="000F3387">
              <w:rPr>
                <w:rFonts w:ascii="Calibri" w:hAnsi="Calibri" w:cs="Calibri"/>
                <w:sz w:val="24"/>
                <w:szCs w:val="24"/>
              </w:rPr>
              <w:t xml:space="preserve">Another change to this section is the new section B. It now states: B. Actions constituting improper dealing include offering real property for sale or for lease without the knowledge and consent of the owner or the owner's authorized representative [without taking reasonable steps to verify identity], or on any terms other than those authorized by the owner or the owner's authorized representative. That means that you must now take reasonable steps to ensure that the person who hired you to sell their property is </w:t>
            </w:r>
            <w:proofErr w:type="gramStart"/>
            <w:r w:rsidR="000F3387" w:rsidRPr="000F3387">
              <w:rPr>
                <w:rFonts w:ascii="Calibri" w:hAnsi="Calibri" w:cs="Calibri"/>
                <w:sz w:val="24"/>
                <w:szCs w:val="24"/>
              </w:rPr>
              <w:t>actually who</w:t>
            </w:r>
            <w:proofErr w:type="gramEnd"/>
            <w:r w:rsidR="000F3387" w:rsidRPr="000F3387">
              <w:rPr>
                <w:rFonts w:ascii="Calibri" w:hAnsi="Calibri" w:cs="Calibri"/>
                <w:sz w:val="24"/>
                <w:szCs w:val="24"/>
              </w:rPr>
              <w:t xml:space="preserve"> they say they are. That means doing things like asking for in-person meetings, asking for multiple forms of identification, pushing back on suspicious data or documentation, and—perhaps most importantly—walking away from a potential listing if you are not comfortable.</w:t>
            </w:r>
          </w:p>
          <w:p w14:paraId="40D2F9CF" w14:textId="77777777" w:rsidR="00C848EB" w:rsidRPr="00C97E85" w:rsidRDefault="00C848EB" w:rsidP="00035CB3">
            <w:pPr>
              <w:rPr>
                <w:rFonts w:ascii="Calibri" w:hAnsi="Calibri" w:cs="Calibri"/>
                <w:sz w:val="24"/>
                <w:szCs w:val="24"/>
              </w:rPr>
            </w:pPr>
          </w:p>
        </w:tc>
      </w:tr>
      <w:tr w:rsidR="004B4F78" w14:paraId="293FC4CF" w14:textId="77777777" w:rsidTr="00035CB3">
        <w:trPr>
          <w:trHeight w:val="4000"/>
        </w:trPr>
        <w:tc>
          <w:tcPr>
            <w:tcW w:w="1368" w:type="dxa"/>
            <w:vAlign w:val="center"/>
          </w:tcPr>
          <w:p w14:paraId="528C203C" w14:textId="52AF4140" w:rsidR="004B4F78" w:rsidRDefault="004B4F78" w:rsidP="00035CB3">
            <w:r>
              <w:lastRenderedPageBreak/>
              <w:t>Slide 1</w:t>
            </w:r>
            <w:r w:rsidR="00C848EB">
              <w:t>2</w:t>
            </w:r>
          </w:p>
        </w:tc>
        <w:tc>
          <w:tcPr>
            <w:tcW w:w="3996" w:type="dxa"/>
            <w:vAlign w:val="center"/>
          </w:tcPr>
          <w:p w14:paraId="64BD91B6" w14:textId="6CC505AC" w:rsidR="004B4F78" w:rsidRPr="004B4F78" w:rsidRDefault="00C848EB" w:rsidP="00035CB3">
            <w:pPr>
              <w:rPr>
                <w:noProof/>
              </w:rPr>
            </w:pPr>
            <w:r w:rsidRPr="00C848EB">
              <w:rPr>
                <w:noProof/>
              </w:rPr>
              <w:drawing>
                <wp:inline distT="0" distB="0" distL="0" distR="0" wp14:anchorId="5D77858D" wp14:editId="69FF9224">
                  <wp:extent cx="2400017" cy="1350010"/>
                  <wp:effectExtent l="0" t="0" r="635" b="0"/>
                  <wp:docPr id="156688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82949"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00017" cy="1350010"/>
                          </a:xfrm>
                          <a:prstGeom prst="rect">
                            <a:avLst/>
                          </a:prstGeom>
                        </pic:spPr>
                      </pic:pic>
                    </a:graphicData>
                  </a:graphic>
                </wp:inline>
              </w:drawing>
            </w:r>
          </w:p>
        </w:tc>
        <w:tc>
          <w:tcPr>
            <w:tcW w:w="3996" w:type="dxa"/>
            <w:vAlign w:val="center"/>
          </w:tcPr>
          <w:p w14:paraId="578BCCE1" w14:textId="066EE595" w:rsidR="004B4F78" w:rsidRPr="00C97E85" w:rsidRDefault="004B4F78" w:rsidP="00035CB3">
            <w:pPr>
              <w:rPr>
                <w:rFonts w:ascii="Calibri" w:hAnsi="Calibri" w:cs="Calibri"/>
                <w:sz w:val="24"/>
                <w:szCs w:val="24"/>
              </w:rPr>
            </w:pPr>
            <w:r w:rsidRPr="00C97E85">
              <w:rPr>
                <w:rFonts w:ascii="Calibri" w:hAnsi="Calibri" w:cs="Calibri"/>
                <w:sz w:val="24"/>
                <w:szCs w:val="24"/>
              </w:rPr>
              <w:t>Questions?</w:t>
            </w:r>
          </w:p>
        </w:tc>
      </w:tr>
    </w:tbl>
    <w:p w14:paraId="635128BE" w14:textId="77777777" w:rsidR="00260CD2" w:rsidRDefault="00260CD2"/>
    <w:sectPr w:rsidR="00260CD2">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17A9" w14:textId="77777777" w:rsidR="00D82411" w:rsidRDefault="00D82411" w:rsidP="00035CB3">
      <w:pPr>
        <w:spacing w:line="240" w:lineRule="auto"/>
      </w:pPr>
      <w:r>
        <w:separator/>
      </w:r>
    </w:p>
  </w:endnote>
  <w:endnote w:type="continuationSeparator" w:id="0">
    <w:p w14:paraId="53971317" w14:textId="77777777" w:rsidR="00D82411" w:rsidRDefault="00D82411" w:rsidP="00035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8351" w14:textId="77777777" w:rsidR="00D82411" w:rsidRDefault="00D82411" w:rsidP="00035CB3">
      <w:pPr>
        <w:spacing w:line="240" w:lineRule="auto"/>
      </w:pPr>
      <w:r>
        <w:separator/>
      </w:r>
    </w:p>
  </w:footnote>
  <w:footnote w:type="continuationSeparator" w:id="0">
    <w:p w14:paraId="27F5CDAD" w14:textId="77777777" w:rsidR="00D82411" w:rsidRDefault="00D82411" w:rsidP="00035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9E6" w14:textId="24D0921B" w:rsidR="00035CB3" w:rsidRDefault="00C848EB" w:rsidP="00035CB3">
    <w:pPr>
      <w:pStyle w:val="Header"/>
    </w:pPr>
    <w:r>
      <w:t>2026 New Regs</w:t>
    </w:r>
    <w:r w:rsidR="004B4F78">
      <w:t xml:space="preserve"> Sales Meeting Kit</w:t>
    </w:r>
  </w:p>
  <w:p w14:paraId="402BFE36" w14:textId="459A0391" w:rsidR="00035CB3" w:rsidRDefault="00035CB3" w:rsidP="00035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B3"/>
    <w:rsid w:val="00035CB3"/>
    <w:rsid w:val="00044DC1"/>
    <w:rsid w:val="000B5908"/>
    <w:rsid w:val="000C2BF6"/>
    <w:rsid w:val="000F3387"/>
    <w:rsid w:val="00260CD2"/>
    <w:rsid w:val="004B4F78"/>
    <w:rsid w:val="006B1CAE"/>
    <w:rsid w:val="008623A7"/>
    <w:rsid w:val="008702C1"/>
    <w:rsid w:val="008872D9"/>
    <w:rsid w:val="00960CF7"/>
    <w:rsid w:val="009864D1"/>
    <w:rsid w:val="00B430CA"/>
    <w:rsid w:val="00C848EB"/>
    <w:rsid w:val="00C97E85"/>
    <w:rsid w:val="00D82411"/>
    <w:rsid w:val="00F53F5C"/>
    <w:rsid w:val="00F7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B1F0"/>
  <w15:chartTrackingRefBased/>
  <w15:docId w15:val="{F875E080-5A7E-4B91-896A-590D253C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CB3"/>
    <w:rPr>
      <w:rFonts w:eastAsiaTheme="majorEastAsia" w:cstheme="majorBidi"/>
      <w:color w:val="272727" w:themeColor="text1" w:themeTint="D8"/>
    </w:rPr>
  </w:style>
  <w:style w:type="paragraph" w:styleId="Title">
    <w:name w:val="Title"/>
    <w:basedOn w:val="Normal"/>
    <w:next w:val="Normal"/>
    <w:link w:val="TitleChar"/>
    <w:uiPriority w:val="10"/>
    <w:qFormat/>
    <w:rsid w:val="0003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C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B3"/>
    <w:pPr>
      <w:spacing w:before="160" w:after="160"/>
    </w:pPr>
    <w:rPr>
      <w:i/>
      <w:iCs/>
      <w:color w:val="404040" w:themeColor="text1" w:themeTint="BF"/>
    </w:rPr>
  </w:style>
  <w:style w:type="character" w:customStyle="1" w:styleId="QuoteChar">
    <w:name w:val="Quote Char"/>
    <w:basedOn w:val="DefaultParagraphFont"/>
    <w:link w:val="Quote"/>
    <w:uiPriority w:val="29"/>
    <w:rsid w:val="00035CB3"/>
    <w:rPr>
      <w:i/>
      <w:iCs/>
      <w:color w:val="404040" w:themeColor="text1" w:themeTint="BF"/>
    </w:rPr>
  </w:style>
  <w:style w:type="paragraph" w:styleId="ListParagraph">
    <w:name w:val="List Paragraph"/>
    <w:basedOn w:val="Normal"/>
    <w:uiPriority w:val="34"/>
    <w:qFormat/>
    <w:rsid w:val="00035CB3"/>
    <w:pPr>
      <w:ind w:left="720"/>
      <w:contextualSpacing/>
    </w:pPr>
  </w:style>
  <w:style w:type="character" w:styleId="IntenseEmphasis">
    <w:name w:val="Intense Emphasis"/>
    <w:basedOn w:val="DefaultParagraphFont"/>
    <w:uiPriority w:val="21"/>
    <w:qFormat/>
    <w:rsid w:val="00035CB3"/>
    <w:rPr>
      <w:i/>
      <w:iCs/>
      <w:color w:val="0F4761" w:themeColor="accent1" w:themeShade="BF"/>
    </w:rPr>
  </w:style>
  <w:style w:type="paragraph" w:styleId="IntenseQuote">
    <w:name w:val="Intense Quote"/>
    <w:basedOn w:val="Normal"/>
    <w:next w:val="Normal"/>
    <w:link w:val="IntenseQuoteChar"/>
    <w:uiPriority w:val="30"/>
    <w:qFormat/>
    <w:rsid w:val="00035CB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35CB3"/>
    <w:rPr>
      <w:i/>
      <w:iCs/>
      <w:color w:val="0F4761" w:themeColor="accent1" w:themeShade="BF"/>
    </w:rPr>
  </w:style>
  <w:style w:type="character" w:styleId="IntenseReference">
    <w:name w:val="Intense Reference"/>
    <w:basedOn w:val="DefaultParagraphFont"/>
    <w:uiPriority w:val="32"/>
    <w:qFormat/>
    <w:rsid w:val="00035CB3"/>
    <w:rPr>
      <w:b/>
      <w:bCs/>
      <w:smallCaps/>
      <w:color w:val="0F4761" w:themeColor="accent1" w:themeShade="BF"/>
      <w:spacing w:val="5"/>
    </w:rPr>
  </w:style>
  <w:style w:type="paragraph" w:styleId="Header">
    <w:name w:val="header"/>
    <w:basedOn w:val="Normal"/>
    <w:link w:val="HeaderChar"/>
    <w:uiPriority w:val="99"/>
    <w:unhideWhenUsed/>
    <w:rsid w:val="00035CB3"/>
    <w:pPr>
      <w:tabs>
        <w:tab w:val="center" w:pos="4680"/>
        <w:tab w:val="right" w:pos="9360"/>
      </w:tabs>
      <w:spacing w:line="240" w:lineRule="auto"/>
    </w:pPr>
  </w:style>
  <w:style w:type="character" w:customStyle="1" w:styleId="HeaderChar">
    <w:name w:val="Header Char"/>
    <w:basedOn w:val="DefaultParagraphFont"/>
    <w:link w:val="Header"/>
    <w:uiPriority w:val="99"/>
    <w:rsid w:val="00035CB3"/>
  </w:style>
  <w:style w:type="paragraph" w:styleId="Footer">
    <w:name w:val="footer"/>
    <w:basedOn w:val="Normal"/>
    <w:link w:val="FooterChar"/>
    <w:uiPriority w:val="99"/>
    <w:unhideWhenUsed/>
    <w:rsid w:val="00035CB3"/>
    <w:pPr>
      <w:tabs>
        <w:tab w:val="center" w:pos="4680"/>
        <w:tab w:val="right" w:pos="9360"/>
      </w:tabs>
      <w:spacing w:line="240" w:lineRule="auto"/>
    </w:pPr>
  </w:style>
  <w:style w:type="character" w:customStyle="1" w:styleId="FooterChar">
    <w:name w:val="Footer Char"/>
    <w:basedOn w:val="DefaultParagraphFont"/>
    <w:link w:val="Footer"/>
    <w:uiPriority w:val="99"/>
    <w:rsid w:val="00035CB3"/>
  </w:style>
  <w:style w:type="paragraph" w:styleId="NormalWeb">
    <w:name w:val="Normal (Web)"/>
    <w:basedOn w:val="Normal"/>
    <w:uiPriority w:val="99"/>
    <w:semiHidden/>
    <w:unhideWhenUsed/>
    <w:rsid w:val="004B4F78"/>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511">
      <w:bodyDiv w:val="1"/>
      <w:marLeft w:val="0"/>
      <w:marRight w:val="0"/>
      <w:marTop w:val="0"/>
      <w:marBottom w:val="0"/>
      <w:divBdr>
        <w:top w:val="none" w:sz="0" w:space="0" w:color="auto"/>
        <w:left w:val="none" w:sz="0" w:space="0" w:color="auto"/>
        <w:bottom w:val="none" w:sz="0" w:space="0" w:color="auto"/>
        <w:right w:val="none" w:sz="0" w:space="0" w:color="auto"/>
      </w:divBdr>
    </w:div>
    <w:div w:id="34669762">
      <w:bodyDiv w:val="1"/>
      <w:marLeft w:val="0"/>
      <w:marRight w:val="0"/>
      <w:marTop w:val="0"/>
      <w:marBottom w:val="0"/>
      <w:divBdr>
        <w:top w:val="none" w:sz="0" w:space="0" w:color="auto"/>
        <w:left w:val="none" w:sz="0" w:space="0" w:color="auto"/>
        <w:bottom w:val="none" w:sz="0" w:space="0" w:color="auto"/>
        <w:right w:val="none" w:sz="0" w:space="0" w:color="auto"/>
      </w:divBdr>
    </w:div>
    <w:div w:id="36274077">
      <w:bodyDiv w:val="1"/>
      <w:marLeft w:val="0"/>
      <w:marRight w:val="0"/>
      <w:marTop w:val="0"/>
      <w:marBottom w:val="0"/>
      <w:divBdr>
        <w:top w:val="none" w:sz="0" w:space="0" w:color="auto"/>
        <w:left w:val="none" w:sz="0" w:space="0" w:color="auto"/>
        <w:bottom w:val="none" w:sz="0" w:space="0" w:color="auto"/>
        <w:right w:val="none" w:sz="0" w:space="0" w:color="auto"/>
      </w:divBdr>
    </w:div>
    <w:div w:id="169485812">
      <w:bodyDiv w:val="1"/>
      <w:marLeft w:val="0"/>
      <w:marRight w:val="0"/>
      <w:marTop w:val="0"/>
      <w:marBottom w:val="0"/>
      <w:divBdr>
        <w:top w:val="none" w:sz="0" w:space="0" w:color="auto"/>
        <w:left w:val="none" w:sz="0" w:space="0" w:color="auto"/>
        <w:bottom w:val="none" w:sz="0" w:space="0" w:color="auto"/>
        <w:right w:val="none" w:sz="0" w:space="0" w:color="auto"/>
      </w:divBdr>
    </w:div>
    <w:div w:id="196238145">
      <w:bodyDiv w:val="1"/>
      <w:marLeft w:val="0"/>
      <w:marRight w:val="0"/>
      <w:marTop w:val="0"/>
      <w:marBottom w:val="0"/>
      <w:divBdr>
        <w:top w:val="none" w:sz="0" w:space="0" w:color="auto"/>
        <w:left w:val="none" w:sz="0" w:space="0" w:color="auto"/>
        <w:bottom w:val="none" w:sz="0" w:space="0" w:color="auto"/>
        <w:right w:val="none" w:sz="0" w:space="0" w:color="auto"/>
      </w:divBdr>
    </w:div>
    <w:div w:id="388769138">
      <w:bodyDiv w:val="1"/>
      <w:marLeft w:val="0"/>
      <w:marRight w:val="0"/>
      <w:marTop w:val="0"/>
      <w:marBottom w:val="0"/>
      <w:divBdr>
        <w:top w:val="none" w:sz="0" w:space="0" w:color="auto"/>
        <w:left w:val="none" w:sz="0" w:space="0" w:color="auto"/>
        <w:bottom w:val="none" w:sz="0" w:space="0" w:color="auto"/>
        <w:right w:val="none" w:sz="0" w:space="0" w:color="auto"/>
      </w:divBdr>
    </w:div>
    <w:div w:id="488668733">
      <w:bodyDiv w:val="1"/>
      <w:marLeft w:val="0"/>
      <w:marRight w:val="0"/>
      <w:marTop w:val="0"/>
      <w:marBottom w:val="0"/>
      <w:divBdr>
        <w:top w:val="none" w:sz="0" w:space="0" w:color="auto"/>
        <w:left w:val="none" w:sz="0" w:space="0" w:color="auto"/>
        <w:bottom w:val="none" w:sz="0" w:space="0" w:color="auto"/>
        <w:right w:val="none" w:sz="0" w:space="0" w:color="auto"/>
      </w:divBdr>
    </w:div>
    <w:div w:id="510802210">
      <w:bodyDiv w:val="1"/>
      <w:marLeft w:val="0"/>
      <w:marRight w:val="0"/>
      <w:marTop w:val="0"/>
      <w:marBottom w:val="0"/>
      <w:divBdr>
        <w:top w:val="none" w:sz="0" w:space="0" w:color="auto"/>
        <w:left w:val="none" w:sz="0" w:space="0" w:color="auto"/>
        <w:bottom w:val="none" w:sz="0" w:space="0" w:color="auto"/>
        <w:right w:val="none" w:sz="0" w:space="0" w:color="auto"/>
      </w:divBdr>
    </w:div>
    <w:div w:id="622998968">
      <w:bodyDiv w:val="1"/>
      <w:marLeft w:val="0"/>
      <w:marRight w:val="0"/>
      <w:marTop w:val="0"/>
      <w:marBottom w:val="0"/>
      <w:divBdr>
        <w:top w:val="none" w:sz="0" w:space="0" w:color="auto"/>
        <w:left w:val="none" w:sz="0" w:space="0" w:color="auto"/>
        <w:bottom w:val="none" w:sz="0" w:space="0" w:color="auto"/>
        <w:right w:val="none" w:sz="0" w:space="0" w:color="auto"/>
      </w:divBdr>
    </w:div>
    <w:div w:id="717509720">
      <w:bodyDiv w:val="1"/>
      <w:marLeft w:val="0"/>
      <w:marRight w:val="0"/>
      <w:marTop w:val="0"/>
      <w:marBottom w:val="0"/>
      <w:divBdr>
        <w:top w:val="none" w:sz="0" w:space="0" w:color="auto"/>
        <w:left w:val="none" w:sz="0" w:space="0" w:color="auto"/>
        <w:bottom w:val="none" w:sz="0" w:space="0" w:color="auto"/>
        <w:right w:val="none" w:sz="0" w:space="0" w:color="auto"/>
      </w:divBdr>
    </w:div>
    <w:div w:id="727069669">
      <w:bodyDiv w:val="1"/>
      <w:marLeft w:val="0"/>
      <w:marRight w:val="0"/>
      <w:marTop w:val="0"/>
      <w:marBottom w:val="0"/>
      <w:divBdr>
        <w:top w:val="none" w:sz="0" w:space="0" w:color="auto"/>
        <w:left w:val="none" w:sz="0" w:space="0" w:color="auto"/>
        <w:bottom w:val="none" w:sz="0" w:space="0" w:color="auto"/>
        <w:right w:val="none" w:sz="0" w:space="0" w:color="auto"/>
      </w:divBdr>
    </w:div>
    <w:div w:id="739062349">
      <w:bodyDiv w:val="1"/>
      <w:marLeft w:val="0"/>
      <w:marRight w:val="0"/>
      <w:marTop w:val="0"/>
      <w:marBottom w:val="0"/>
      <w:divBdr>
        <w:top w:val="none" w:sz="0" w:space="0" w:color="auto"/>
        <w:left w:val="none" w:sz="0" w:space="0" w:color="auto"/>
        <w:bottom w:val="none" w:sz="0" w:space="0" w:color="auto"/>
        <w:right w:val="none" w:sz="0" w:space="0" w:color="auto"/>
      </w:divBdr>
    </w:div>
    <w:div w:id="757940813">
      <w:bodyDiv w:val="1"/>
      <w:marLeft w:val="0"/>
      <w:marRight w:val="0"/>
      <w:marTop w:val="0"/>
      <w:marBottom w:val="0"/>
      <w:divBdr>
        <w:top w:val="none" w:sz="0" w:space="0" w:color="auto"/>
        <w:left w:val="none" w:sz="0" w:space="0" w:color="auto"/>
        <w:bottom w:val="none" w:sz="0" w:space="0" w:color="auto"/>
        <w:right w:val="none" w:sz="0" w:space="0" w:color="auto"/>
      </w:divBdr>
    </w:div>
    <w:div w:id="844366239">
      <w:bodyDiv w:val="1"/>
      <w:marLeft w:val="0"/>
      <w:marRight w:val="0"/>
      <w:marTop w:val="0"/>
      <w:marBottom w:val="0"/>
      <w:divBdr>
        <w:top w:val="none" w:sz="0" w:space="0" w:color="auto"/>
        <w:left w:val="none" w:sz="0" w:space="0" w:color="auto"/>
        <w:bottom w:val="none" w:sz="0" w:space="0" w:color="auto"/>
        <w:right w:val="none" w:sz="0" w:space="0" w:color="auto"/>
      </w:divBdr>
    </w:div>
    <w:div w:id="900365593">
      <w:bodyDiv w:val="1"/>
      <w:marLeft w:val="0"/>
      <w:marRight w:val="0"/>
      <w:marTop w:val="0"/>
      <w:marBottom w:val="0"/>
      <w:divBdr>
        <w:top w:val="none" w:sz="0" w:space="0" w:color="auto"/>
        <w:left w:val="none" w:sz="0" w:space="0" w:color="auto"/>
        <w:bottom w:val="none" w:sz="0" w:space="0" w:color="auto"/>
        <w:right w:val="none" w:sz="0" w:space="0" w:color="auto"/>
      </w:divBdr>
    </w:div>
    <w:div w:id="970130446">
      <w:bodyDiv w:val="1"/>
      <w:marLeft w:val="0"/>
      <w:marRight w:val="0"/>
      <w:marTop w:val="0"/>
      <w:marBottom w:val="0"/>
      <w:divBdr>
        <w:top w:val="none" w:sz="0" w:space="0" w:color="auto"/>
        <w:left w:val="none" w:sz="0" w:space="0" w:color="auto"/>
        <w:bottom w:val="none" w:sz="0" w:space="0" w:color="auto"/>
        <w:right w:val="none" w:sz="0" w:space="0" w:color="auto"/>
      </w:divBdr>
    </w:div>
    <w:div w:id="1024210971">
      <w:bodyDiv w:val="1"/>
      <w:marLeft w:val="0"/>
      <w:marRight w:val="0"/>
      <w:marTop w:val="0"/>
      <w:marBottom w:val="0"/>
      <w:divBdr>
        <w:top w:val="none" w:sz="0" w:space="0" w:color="auto"/>
        <w:left w:val="none" w:sz="0" w:space="0" w:color="auto"/>
        <w:bottom w:val="none" w:sz="0" w:space="0" w:color="auto"/>
        <w:right w:val="none" w:sz="0" w:space="0" w:color="auto"/>
      </w:divBdr>
    </w:div>
    <w:div w:id="1119950752">
      <w:bodyDiv w:val="1"/>
      <w:marLeft w:val="0"/>
      <w:marRight w:val="0"/>
      <w:marTop w:val="0"/>
      <w:marBottom w:val="0"/>
      <w:divBdr>
        <w:top w:val="none" w:sz="0" w:space="0" w:color="auto"/>
        <w:left w:val="none" w:sz="0" w:space="0" w:color="auto"/>
        <w:bottom w:val="none" w:sz="0" w:space="0" w:color="auto"/>
        <w:right w:val="none" w:sz="0" w:space="0" w:color="auto"/>
      </w:divBdr>
    </w:div>
    <w:div w:id="1236279306">
      <w:bodyDiv w:val="1"/>
      <w:marLeft w:val="0"/>
      <w:marRight w:val="0"/>
      <w:marTop w:val="0"/>
      <w:marBottom w:val="0"/>
      <w:divBdr>
        <w:top w:val="none" w:sz="0" w:space="0" w:color="auto"/>
        <w:left w:val="none" w:sz="0" w:space="0" w:color="auto"/>
        <w:bottom w:val="none" w:sz="0" w:space="0" w:color="auto"/>
        <w:right w:val="none" w:sz="0" w:space="0" w:color="auto"/>
      </w:divBdr>
    </w:div>
    <w:div w:id="1248002556">
      <w:bodyDiv w:val="1"/>
      <w:marLeft w:val="0"/>
      <w:marRight w:val="0"/>
      <w:marTop w:val="0"/>
      <w:marBottom w:val="0"/>
      <w:divBdr>
        <w:top w:val="none" w:sz="0" w:space="0" w:color="auto"/>
        <w:left w:val="none" w:sz="0" w:space="0" w:color="auto"/>
        <w:bottom w:val="none" w:sz="0" w:space="0" w:color="auto"/>
        <w:right w:val="none" w:sz="0" w:space="0" w:color="auto"/>
      </w:divBdr>
    </w:div>
    <w:div w:id="1315334312">
      <w:bodyDiv w:val="1"/>
      <w:marLeft w:val="0"/>
      <w:marRight w:val="0"/>
      <w:marTop w:val="0"/>
      <w:marBottom w:val="0"/>
      <w:divBdr>
        <w:top w:val="none" w:sz="0" w:space="0" w:color="auto"/>
        <w:left w:val="none" w:sz="0" w:space="0" w:color="auto"/>
        <w:bottom w:val="none" w:sz="0" w:space="0" w:color="auto"/>
        <w:right w:val="none" w:sz="0" w:space="0" w:color="auto"/>
      </w:divBdr>
    </w:div>
    <w:div w:id="1403528619">
      <w:bodyDiv w:val="1"/>
      <w:marLeft w:val="0"/>
      <w:marRight w:val="0"/>
      <w:marTop w:val="0"/>
      <w:marBottom w:val="0"/>
      <w:divBdr>
        <w:top w:val="none" w:sz="0" w:space="0" w:color="auto"/>
        <w:left w:val="none" w:sz="0" w:space="0" w:color="auto"/>
        <w:bottom w:val="none" w:sz="0" w:space="0" w:color="auto"/>
        <w:right w:val="none" w:sz="0" w:space="0" w:color="auto"/>
      </w:divBdr>
    </w:div>
    <w:div w:id="1406956210">
      <w:bodyDiv w:val="1"/>
      <w:marLeft w:val="0"/>
      <w:marRight w:val="0"/>
      <w:marTop w:val="0"/>
      <w:marBottom w:val="0"/>
      <w:divBdr>
        <w:top w:val="none" w:sz="0" w:space="0" w:color="auto"/>
        <w:left w:val="none" w:sz="0" w:space="0" w:color="auto"/>
        <w:bottom w:val="none" w:sz="0" w:space="0" w:color="auto"/>
        <w:right w:val="none" w:sz="0" w:space="0" w:color="auto"/>
      </w:divBdr>
    </w:div>
    <w:div w:id="1432823817">
      <w:bodyDiv w:val="1"/>
      <w:marLeft w:val="0"/>
      <w:marRight w:val="0"/>
      <w:marTop w:val="0"/>
      <w:marBottom w:val="0"/>
      <w:divBdr>
        <w:top w:val="none" w:sz="0" w:space="0" w:color="auto"/>
        <w:left w:val="none" w:sz="0" w:space="0" w:color="auto"/>
        <w:bottom w:val="none" w:sz="0" w:space="0" w:color="auto"/>
        <w:right w:val="none" w:sz="0" w:space="0" w:color="auto"/>
      </w:divBdr>
    </w:div>
    <w:div w:id="1528907583">
      <w:bodyDiv w:val="1"/>
      <w:marLeft w:val="0"/>
      <w:marRight w:val="0"/>
      <w:marTop w:val="0"/>
      <w:marBottom w:val="0"/>
      <w:divBdr>
        <w:top w:val="none" w:sz="0" w:space="0" w:color="auto"/>
        <w:left w:val="none" w:sz="0" w:space="0" w:color="auto"/>
        <w:bottom w:val="none" w:sz="0" w:space="0" w:color="auto"/>
        <w:right w:val="none" w:sz="0" w:space="0" w:color="auto"/>
      </w:divBdr>
    </w:div>
    <w:div w:id="1640647170">
      <w:bodyDiv w:val="1"/>
      <w:marLeft w:val="0"/>
      <w:marRight w:val="0"/>
      <w:marTop w:val="0"/>
      <w:marBottom w:val="0"/>
      <w:divBdr>
        <w:top w:val="none" w:sz="0" w:space="0" w:color="auto"/>
        <w:left w:val="none" w:sz="0" w:space="0" w:color="auto"/>
        <w:bottom w:val="none" w:sz="0" w:space="0" w:color="auto"/>
        <w:right w:val="none" w:sz="0" w:space="0" w:color="auto"/>
      </w:divBdr>
    </w:div>
    <w:div w:id="1674600383">
      <w:bodyDiv w:val="1"/>
      <w:marLeft w:val="0"/>
      <w:marRight w:val="0"/>
      <w:marTop w:val="0"/>
      <w:marBottom w:val="0"/>
      <w:divBdr>
        <w:top w:val="none" w:sz="0" w:space="0" w:color="auto"/>
        <w:left w:val="none" w:sz="0" w:space="0" w:color="auto"/>
        <w:bottom w:val="none" w:sz="0" w:space="0" w:color="auto"/>
        <w:right w:val="none" w:sz="0" w:space="0" w:color="auto"/>
      </w:divBdr>
    </w:div>
    <w:div w:id="1894274406">
      <w:bodyDiv w:val="1"/>
      <w:marLeft w:val="0"/>
      <w:marRight w:val="0"/>
      <w:marTop w:val="0"/>
      <w:marBottom w:val="0"/>
      <w:divBdr>
        <w:top w:val="none" w:sz="0" w:space="0" w:color="auto"/>
        <w:left w:val="none" w:sz="0" w:space="0" w:color="auto"/>
        <w:bottom w:val="none" w:sz="0" w:space="0" w:color="auto"/>
        <w:right w:val="none" w:sz="0" w:space="0" w:color="auto"/>
      </w:divBdr>
    </w:div>
    <w:div w:id="1913462379">
      <w:bodyDiv w:val="1"/>
      <w:marLeft w:val="0"/>
      <w:marRight w:val="0"/>
      <w:marTop w:val="0"/>
      <w:marBottom w:val="0"/>
      <w:divBdr>
        <w:top w:val="none" w:sz="0" w:space="0" w:color="auto"/>
        <w:left w:val="none" w:sz="0" w:space="0" w:color="auto"/>
        <w:bottom w:val="none" w:sz="0" w:space="0" w:color="auto"/>
        <w:right w:val="none" w:sz="0" w:space="0" w:color="auto"/>
      </w:divBdr>
    </w:div>
    <w:div w:id="2084333927">
      <w:bodyDiv w:val="1"/>
      <w:marLeft w:val="0"/>
      <w:marRight w:val="0"/>
      <w:marTop w:val="0"/>
      <w:marBottom w:val="0"/>
      <w:divBdr>
        <w:top w:val="none" w:sz="0" w:space="0" w:color="auto"/>
        <w:left w:val="none" w:sz="0" w:space="0" w:color="auto"/>
        <w:bottom w:val="none" w:sz="0" w:space="0" w:color="auto"/>
        <w:right w:val="none" w:sz="0" w:space="0" w:color="auto"/>
      </w:divBdr>
    </w:div>
    <w:div w:id="2084717661">
      <w:bodyDiv w:val="1"/>
      <w:marLeft w:val="0"/>
      <w:marRight w:val="0"/>
      <w:marTop w:val="0"/>
      <w:marBottom w:val="0"/>
      <w:divBdr>
        <w:top w:val="none" w:sz="0" w:space="0" w:color="auto"/>
        <w:left w:val="none" w:sz="0" w:space="0" w:color="auto"/>
        <w:bottom w:val="none" w:sz="0" w:space="0" w:color="auto"/>
        <w:right w:val="none" w:sz="0" w:space="0" w:color="auto"/>
      </w:divBdr>
    </w:div>
    <w:div w:id="2092390235">
      <w:bodyDiv w:val="1"/>
      <w:marLeft w:val="0"/>
      <w:marRight w:val="0"/>
      <w:marTop w:val="0"/>
      <w:marBottom w:val="0"/>
      <w:divBdr>
        <w:top w:val="none" w:sz="0" w:space="0" w:color="auto"/>
        <w:left w:val="none" w:sz="0" w:space="0" w:color="auto"/>
        <w:bottom w:val="none" w:sz="0" w:space="0" w:color="auto"/>
        <w:right w:val="none" w:sz="0" w:space="0" w:color="auto"/>
      </w:divBdr>
    </w:div>
    <w:div w:id="20950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30d7b-8c89-47ad-91ac-97942cba60d1">
      <Terms xmlns="http://schemas.microsoft.com/office/infopath/2007/PartnerControls"/>
    </lcf76f155ced4ddcb4097134ff3c332f>
    <TaxCatchAll xmlns="0207266a-8549-4d12-87c7-6d3d79637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7025548F6494E8C1ABF7D2740F2F5" ma:contentTypeVersion="17" ma:contentTypeDescription="Create a new document." ma:contentTypeScope="" ma:versionID="92a4005fd565fb36c2d063284bf52ce8">
  <xsd:schema xmlns:xsd="http://www.w3.org/2001/XMLSchema" xmlns:xs="http://www.w3.org/2001/XMLSchema" xmlns:p="http://schemas.microsoft.com/office/2006/metadata/properties" xmlns:ns2="ba630d7b-8c89-47ad-91ac-97942cba60d1" xmlns:ns3="0207266a-8549-4d12-87c7-6d3d79637e47" targetNamespace="http://schemas.microsoft.com/office/2006/metadata/properties" ma:root="true" ma:fieldsID="c14a2f10567cf6897a8a6597ac5ace0f" ns2:_="" ns3:_="">
    <xsd:import namespace="ba630d7b-8c89-47ad-91ac-97942cba60d1"/>
    <xsd:import namespace="0207266a-8549-4d12-87c7-6d3d79637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30d7b-8c89-47ad-91ac-97942cba6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e32d4-85ac-40c2-9e8e-56c60904338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7266a-8549-4d12-87c7-6d3d79637e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5bc54e-6852-432d-a8bf-2ccd59860851}" ma:internalName="TaxCatchAll" ma:showField="CatchAllData" ma:web="0207266a-8549-4d12-87c7-6d3d79637e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6D55B-0D5B-4387-B5DB-3221C821D00E}">
  <ds:schemaRefs>
    <ds:schemaRef ds:uri="http://schemas.microsoft.com/office/2006/metadata/properties"/>
    <ds:schemaRef ds:uri="http://schemas.microsoft.com/office/infopath/2007/PartnerControls"/>
    <ds:schemaRef ds:uri="ba630d7b-8c89-47ad-91ac-97942cba60d1"/>
    <ds:schemaRef ds:uri="0207266a-8549-4d12-87c7-6d3d79637e47"/>
  </ds:schemaRefs>
</ds:datastoreItem>
</file>

<file path=customXml/itemProps2.xml><?xml version="1.0" encoding="utf-8"?>
<ds:datastoreItem xmlns:ds="http://schemas.openxmlformats.org/officeDocument/2006/customXml" ds:itemID="{4DA0CBEC-76E4-4545-AD39-B25988F75F7F}">
  <ds:schemaRefs>
    <ds:schemaRef ds:uri="http://schemas.microsoft.com/sharepoint/v3/contenttype/forms"/>
  </ds:schemaRefs>
</ds:datastoreItem>
</file>

<file path=customXml/itemProps3.xml><?xml version="1.0" encoding="utf-8"?>
<ds:datastoreItem xmlns:ds="http://schemas.openxmlformats.org/officeDocument/2006/customXml" ds:itemID="{04C22994-EA48-4E86-B25F-5F915088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30d7b-8c89-47ad-91ac-97942cba60d1"/>
    <ds:schemaRef ds:uri="0207266a-8549-4d12-87c7-6d3d79637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1135</Words>
  <Characters>5826</Characters>
  <Application>Microsoft Office Word</Application>
  <DocSecurity>0</DocSecurity>
  <Lines>253</Lines>
  <Paragraphs>39</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Haley</dc:creator>
  <cp:keywords/>
  <dc:description/>
  <cp:lastModifiedBy>Adam J Smith (Creative Director)</cp:lastModifiedBy>
  <cp:revision>4</cp:revision>
  <dcterms:created xsi:type="dcterms:W3CDTF">2026-03-30T17:29:00Z</dcterms:created>
  <dcterms:modified xsi:type="dcterms:W3CDTF">2026-04-06T17:46:00Z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0x010100DFE7025548F6494E8C1ABF7D2740F2F5</vt:lpwstr>
  </property>
  <property fmtid="{D5CDD505-2E9C-101B-9397-08002B2CF9AE}" pid="3" name="MediaServiceImageTags">
    <vt:lpwstr/>
  </property>
</Properties>
</file>