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986B02" w14:paraId="62DD88DC" w14:textId="77777777" w:rsidTr="00E9214C">
        <w:trPr>
          <w:trHeight w:val="4000"/>
        </w:trPr>
        <w:tc>
          <w:tcPr>
            <w:tcW w:w="1368" w:type="dxa"/>
          </w:tcPr>
          <w:p w14:paraId="68250035" w14:textId="77777777" w:rsidR="00986B02" w:rsidRDefault="00986B02">
            <w:r>
              <w:t>Slide 1</w:t>
            </w:r>
          </w:p>
        </w:tc>
        <w:tc>
          <w:tcPr>
            <w:tcW w:w="3996" w:type="dxa"/>
          </w:tcPr>
          <w:p w14:paraId="6E85E2C5" w14:textId="6C51B63B" w:rsidR="00986B02" w:rsidRDefault="00974591">
            <w:r w:rsidRPr="00974591">
              <w:rPr>
                <w:noProof/>
              </w:rPr>
              <w:drawing>
                <wp:inline distT="0" distB="0" distL="0" distR="0" wp14:anchorId="15C8EF0C" wp14:editId="58874B57">
                  <wp:extent cx="2400300" cy="1350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0300" cy="1350010"/>
                          </a:xfrm>
                          <a:prstGeom prst="rect">
                            <a:avLst/>
                          </a:prstGeom>
                        </pic:spPr>
                      </pic:pic>
                    </a:graphicData>
                  </a:graphic>
                </wp:inline>
              </w:drawing>
            </w:r>
          </w:p>
        </w:tc>
        <w:tc>
          <w:tcPr>
            <w:tcW w:w="3996" w:type="dxa"/>
          </w:tcPr>
          <w:p w14:paraId="21598087" w14:textId="049CC229" w:rsidR="00986B02" w:rsidRDefault="00986B02" w:rsidP="00986B02">
            <w:pPr>
              <w:autoSpaceDE w:val="0"/>
              <w:autoSpaceDN w:val="0"/>
              <w:adjustRightInd w:val="0"/>
              <w:rPr>
                <w:rFonts w:ascii="Calibri" w:hAnsi="Calibri" w:cs="Calibri"/>
                <w:kern w:val="24"/>
                <w:szCs w:val="24"/>
              </w:rPr>
            </w:pPr>
            <w:r>
              <w:rPr>
                <w:rFonts w:ascii="Calibri" w:hAnsi="Calibri" w:cs="Calibri"/>
                <w:kern w:val="24"/>
                <w:szCs w:val="24"/>
              </w:rPr>
              <w:t xml:space="preserve">Information in this presentation is a summary of the </w:t>
            </w:r>
            <w:r w:rsidR="00974591">
              <w:rPr>
                <w:rFonts w:ascii="Calibri" w:hAnsi="Calibri" w:cs="Calibri"/>
                <w:kern w:val="24"/>
                <w:szCs w:val="24"/>
              </w:rPr>
              <w:t>rights afforded to residential tenants who are also servicemembers as defined by the SCRA.</w:t>
            </w:r>
          </w:p>
          <w:p w14:paraId="01A47052" w14:textId="77777777" w:rsidR="00986B02" w:rsidRDefault="00986B02" w:rsidP="00986B02">
            <w:pPr>
              <w:autoSpaceDE w:val="0"/>
              <w:autoSpaceDN w:val="0"/>
              <w:adjustRightInd w:val="0"/>
              <w:rPr>
                <w:rFonts w:ascii="Calibri" w:hAnsi="Calibri" w:cs="Calibri"/>
                <w:kern w:val="24"/>
                <w:szCs w:val="24"/>
              </w:rPr>
            </w:pPr>
            <w:r>
              <w:rPr>
                <w:rFonts w:ascii="Calibri" w:hAnsi="Calibri" w:cs="Calibri"/>
                <w:kern w:val="24"/>
                <w:szCs w:val="24"/>
              </w:rPr>
              <w:t> </w:t>
            </w:r>
          </w:p>
          <w:p w14:paraId="4BF7793F" w14:textId="77777777" w:rsidR="00986B02" w:rsidRDefault="00986B02" w:rsidP="00986B02">
            <w:pPr>
              <w:autoSpaceDE w:val="0"/>
              <w:autoSpaceDN w:val="0"/>
              <w:adjustRightInd w:val="0"/>
              <w:rPr>
                <w:rFonts w:ascii="Arial" w:hAnsi="Arial" w:cs="Arial"/>
                <w:szCs w:val="24"/>
              </w:rPr>
            </w:pPr>
          </w:p>
          <w:p w14:paraId="6FF34651" w14:textId="77777777" w:rsidR="00986B02" w:rsidRDefault="00986B02"/>
        </w:tc>
      </w:tr>
      <w:tr w:rsidR="00986B02" w14:paraId="0D052E9B" w14:textId="77777777" w:rsidTr="00E9214C">
        <w:trPr>
          <w:trHeight w:val="1619"/>
        </w:trPr>
        <w:tc>
          <w:tcPr>
            <w:tcW w:w="1368" w:type="dxa"/>
          </w:tcPr>
          <w:p w14:paraId="67D84E70" w14:textId="77777777" w:rsidR="00986B02" w:rsidRDefault="00986B02">
            <w:r>
              <w:t>Slide 2</w:t>
            </w:r>
          </w:p>
        </w:tc>
        <w:tc>
          <w:tcPr>
            <w:tcW w:w="3996" w:type="dxa"/>
          </w:tcPr>
          <w:p w14:paraId="7BBF5DF4" w14:textId="4981E1E1" w:rsidR="00986B02" w:rsidRDefault="00E9214C">
            <w:r w:rsidRPr="00E9214C">
              <w:rPr>
                <w:noProof/>
              </w:rPr>
              <w:drawing>
                <wp:inline distT="0" distB="0" distL="0" distR="0" wp14:anchorId="16C359E6" wp14:editId="5F5C78E9">
                  <wp:extent cx="2400300" cy="1350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00300" cy="1350010"/>
                          </a:xfrm>
                          <a:prstGeom prst="rect">
                            <a:avLst/>
                          </a:prstGeom>
                        </pic:spPr>
                      </pic:pic>
                    </a:graphicData>
                  </a:graphic>
                </wp:inline>
              </w:drawing>
            </w:r>
          </w:p>
          <w:p w14:paraId="28ABC57F" w14:textId="77777777" w:rsidR="00986B02" w:rsidRPr="00986B02" w:rsidRDefault="00986B02" w:rsidP="00986B02"/>
          <w:p w14:paraId="66516DFB" w14:textId="77777777" w:rsidR="00986B02" w:rsidRPr="00986B02" w:rsidRDefault="00986B02" w:rsidP="00986B02"/>
          <w:p w14:paraId="42C4AD36" w14:textId="77777777" w:rsidR="00986B02" w:rsidRPr="00986B02" w:rsidRDefault="00986B02" w:rsidP="00986B02"/>
          <w:p w14:paraId="3FD5C57D" w14:textId="77777777" w:rsidR="00986B02" w:rsidRPr="00986B02" w:rsidRDefault="00986B02" w:rsidP="00986B02"/>
          <w:p w14:paraId="0C4B5037" w14:textId="77777777" w:rsidR="00986B02" w:rsidRPr="00986B02" w:rsidRDefault="00986B02" w:rsidP="00986B02"/>
          <w:p w14:paraId="70461BD1" w14:textId="6B53E37E" w:rsidR="00986B02" w:rsidRPr="00986B02" w:rsidRDefault="00986B02" w:rsidP="00986B02"/>
        </w:tc>
        <w:tc>
          <w:tcPr>
            <w:tcW w:w="3996" w:type="dxa"/>
          </w:tcPr>
          <w:p w14:paraId="13156F38"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[Instructor]</w:t>
            </w:r>
            <w:r>
              <w:rPr>
                <w:rFonts w:ascii="Calibri" w:hAnsi="Calibri" w:cs="Calibri"/>
                <w:kern w:val="24"/>
                <w:szCs w:val="24"/>
              </w:rPr>
              <w:t xml:space="preserve"> </w:t>
            </w:r>
            <w:r w:rsidR="00E9214C" w:rsidRPr="00E9214C">
              <w:rPr>
                <w:rFonts w:ascii="Calibri" w:hAnsi="Calibri" w:cs="Calibri"/>
                <w:kern w:val="24"/>
              </w:rPr>
              <w:t xml:space="preserve">The SCRA provides </w:t>
            </w:r>
            <w:proofErr w:type="gramStart"/>
            <w:r w:rsidR="00E9214C" w:rsidRPr="00E9214C">
              <w:rPr>
                <w:rFonts w:ascii="Calibri" w:hAnsi="Calibri" w:cs="Calibri"/>
                <w:kern w:val="24"/>
              </w:rPr>
              <w:t>a number of</w:t>
            </w:r>
            <w:proofErr w:type="gramEnd"/>
            <w:r w:rsidR="00E9214C" w:rsidRPr="00E9214C">
              <w:rPr>
                <w:rFonts w:ascii="Calibri" w:hAnsi="Calibri" w:cs="Calibri"/>
                <w:kern w:val="24"/>
              </w:rPr>
              <w:t xml:space="preserve"> protections to servicemembers.  In the context of residential real estate, it allows servicemembers who are tenants to terminate their lease early without penalty if they receive orders to relocate or deploy.</w:t>
            </w:r>
          </w:p>
          <w:p w14:paraId="38586E0B" w14:textId="77777777" w:rsidR="00E9214C" w:rsidRPr="00E9214C" w:rsidRDefault="00E9214C" w:rsidP="00E9214C">
            <w:pPr>
              <w:autoSpaceDE w:val="0"/>
              <w:autoSpaceDN w:val="0"/>
              <w:adjustRightInd w:val="0"/>
              <w:rPr>
                <w:rFonts w:ascii="Calibri" w:hAnsi="Calibri" w:cs="Calibri"/>
                <w:kern w:val="24"/>
                <w:szCs w:val="24"/>
              </w:rPr>
            </w:pPr>
            <w:r w:rsidRPr="00E9214C">
              <w:rPr>
                <w:rFonts w:ascii="Calibri" w:hAnsi="Calibri" w:cs="Calibri"/>
                <w:kern w:val="24"/>
                <w:szCs w:val="24"/>
              </w:rPr>
              <w:t>This protection overrides any provision in the lease agreement to the contrary.</w:t>
            </w:r>
          </w:p>
          <w:p w14:paraId="6E63FD9C" w14:textId="33826667" w:rsidR="00986B02" w:rsidRDefault="00986B02"/>
        </w:tc>
      </w:tr>
      <w:tr w:rsidR="00986B02" w14:paraId="0A91E88F" w14:textId="77777777" w:rsidTr="00E9214C">
        <w:trPr>
          <w:trHeight w:val="4000"/>
        </w:trPr>
        <w:tc>
          <w:tcPr>
            <w:tcW w:w="1368" w:type="dxa"/>
          </w:tcPr>
          <w:p w14:paraId="1AD99733" w14:textId="77777777" w:rsidR="00986B02" w:rsidRDefault="00986B02">
            <w:r>
              <w:t>Slide 3</w:t>
            </w:r>
          </w:p>
        </w:tc>
        <w:tc>
          <w:tcPr>
            <w:tcW w:w="3996" w:type="dxa"/>
          </w:tcPr>
          <w:p w14:paraId="288A3D6B" w14:textId="5EAF3429" w:rsidR="00986B02" w:rsidRDefault="00E9214C">
            <w:r w:rsidRPr="00E9214C">
              <w:rPr>
                <w:noProof/>
              </w:rPr>
              <w:drawing>
                <wp:inline distT="0" distB="0" distL="0" distR="0" wp14:anchorId="0270E6A2" wp14:editId="404C913E">
                  <wp:extent cx="2400300" cy="13500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0300" cy="1350010"/>
                          </a:xfrm>
                          <a:prstGeom prst="rect">
                            <a:avLst/>
                          </a:prstGeom>
                        </pic:spPr>
                      </pic:pic>
                    </a:graphicData>
                  </a:graphic>
                </wp:inline>
              </w:drawing>
            </w:r>
          </w:p>
        </w:tc>
        <w:tc>
          <w:tcPr>
            <w:tcW w:w="3996" w:type="dxa"/>
          </w:tcPr>
          <w:p w14:paraId="0757C7C6"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 xml:space="preserve">[Instructor] </w:t>
            </w:r>
            <w:r w:rsidR="00E9214C" w:rsidRPr="00E9214C">
              <w:rPr>
                <w:rFonts w:ascii="Calibri" w:hAnsi="Calibri" w:cs="Calibri"/>
                <w:kern w:val="24"/>
              </w:rPr>
              <w:t xml:space="preserve">So who does the SCRA apply to?  As the title suggests, it applies to servicemembers.  The term “servicemember” is defined as a member of the armed forces, including the Army, Navy, Air Force, Marine Corps, Space Force, or Coast Guard. </w:t>
            </w:r>
          </w:p>
          <w:p w14:paraId="1DF63D14" w14:textId="0A301A05" w:rsidR="00986B02" w:rsidRPr="00E9214C" w:rsidRDefault="00986B02" w:rsidP="00E9214C">
            <w:pPr>
              <w:autoSpaceDE w:val="0"/>
              <w:autoSpaceDN w:val="0"/>
              <w:adjustRightInd w:val="0"/>
              <w:rPr>
                <w:rFonts w:ascii="Calibri" w:hAnsi="Calibri" w:cs="Calibri"/>
                <w:kern w:val="24"/>
                <w:szCs w:val="24"/>
              </w:rPr>
            </w:pPr>
            <w:r>
              <w:rPr>
                <w:rFonts w:ascii="Calibri" w:hAnsi="Calibri" w:cs="Calibri"/>
                <w:kern w:val="24"/>
                <w:szCs w:val="24"/>
              </w:rPr>
              <w:br/>
            </w:r>
          </w:p>
        </w:tc>
      </w:tr>
      <w:tr w:rsidR="00986B02" w14:paraId="7F2E3835" w14:textId="77777777" w:rsidTr="00E9214C">
        <w:trPr>
          <w:trHeight w:val="4000"/>
        </w:trPr>
        <w:tc>
          <w:tcPr>
            <w:tcW w:w="1368" w:type="dxa"/>
          </w:tcPr>
          <w:p w14:paraId="1A936395" w14:textId="77777777" w:rsidR="00986B02" w:rsidRDefault="00986B02">
            <w:r>
              <w:lastRenderedPageBreak/>
              <w:t>Slide 4</w:t>
            </w:r>
          </w:p>
        </w:tc>
        <w:tc>
          <w:tcPr>
            <w:tcW w:w="3996" w:type="dxa"/>
          </w:tcPr>
          <w:p w14:paraId="2360165C" w14:textId="12CFB779" w:rsidR="00986B02" w:rsidRDefault="00E9214C">
            <w:r w:rsidRPr="00E9214C">
              <w:rPr>
                <w:noProof/>
              </w:rPr>
              <w:drawing>
                <wp:inline distT="0" distB="0" distL="0" distR="0" wp14:anchorId="45BE656A" wp14:editId="34455FC9">
                  <wp:extent cx="2400300" cy="13500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00300" cy="1350010"/>
                          </a:xfrm>
                          <a:prstGeom prst="rect">
                            <a:avLst/>
                          </a:prstGeom>
                        </pic:spPr>
                      </pic:pic>
                    </a:graphicData>
                  </a:graphic>
                </wp:inline>
              </w:drawing>
            </w:r>
          </w:p>
        </w:tc>
        <w:tc>
          <w:tcPr>
            <w:tcW w:w="3996" w:type="dxa"/>
          </w:tcPr>
          <w:p w14:paraId="2FBF29B0"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 xml:space="preserve">[Instructor] </w:t>
            </w:r>
            <w:r w:rsidR="00E9214C" w:rsidRPr="00E9214C">
              <w:rPr>
                <w:rFonts w:ascii="Calibri" w:hAnsi="Calibri" w:cs="Calibri"/>
                <w:kern w:val="24"/>
              </w:rPr>
              <w:t>As the term is used in the law, “servicemember” also includes those who serve in the Foreign Service for the State Department, the National Oceanic and Atmospheric Administration, and the Public Health Service.</w:t>
            </w:r>
          </w:p>
          <w:p w14:paraId="39369CE8" w14:textId="77777777" w:rsidR="00986B02" w:rsidRDefault="00986B02"/>
        </w:tc>
      </w:tr>
      <w:tr w:rsidR="00986B02" w14:paraId="3B260F20" w14:textId="77777777" w:rsidTr="00E9214C">
        <w:trPr>
          <w:trHeight w:val="4000"/>
        </w:trPr>
        <w:tc>
          <w:tcPr>
            <w:tcW w:w="1368" w:type="dxa"/>
          </w:tcPr>
          <w:p w14:paraId="2B2F57D8" w14:textId="77777777" w:rsidR="00986B02" w:rsidRDefault="00986B02">
            <w:r>
              <w:t>Slide 5</w:t>
            </w:r>
          </w:p>
        </w:tc>
        <w:tc>
          <w:tcPr>
            <w:tcW w:w="3996" w:type="dxa"/>
          </w:tcPr>
          <w:p w14:paraId="5249C66B" w14:textId="4FC9ABE1" w:rsidR="00986B02" w:rsidRDefault="00E9214C">
            <w:r w:rsidRPr="00E9214C">
              <w:rPr>
                <w:noProof/>
              </w:rPr>
              <w:drawing>
                <wp:inline distT="0" distB="0" distL="0" distR="0" wp14:anchorId="06D3C1AA" wp14:editId="04B951F5">
                  <wp:extent cx="2400300" cy="13500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0300" cy="1350010"/>
                          </a:xfrm>
                          <a:prstGeom prst="rect">
                            <a:avLst/>
                          </a:prstGeom>
                        </pic:spPr>
                      </pic:pic>
                    </a:graphicData>
                  </a:graphic>
                </wp:inline>
              </w:drawing>
            </w:r>
          </w:p>
        </w:tc>
        <w:tc>
          <w:tcPr>
            <w:tcW w:w="3996" w:type="dxa"/>
          </w:tcPr>
          <w:p w14:paraId="59BEEB65"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 xml:space="preserve">[Instructor] </w:t>
            </w:r>
            <w:r w:rsidR="00E9214C" w:rsidRPr="00E9214C">
              <w:rPr>
                <w:rFonts w:ascii="Calibri" w:hAnsi="Calibri" w:cs="Calibri"/>
                <w:kern w:val="24"/>
              </w:rPr>
              <w:t xml:space="preserve">People who fit into one of these categories do not qualify for the protections given by the SCRA.  While family members of servicemembers do not qualify </w:t>
            </w:r>
            <w:proofErr w:type="gramStart"/>
            <w:r w:rsidR="00E9214C" w:rsidRPr="00E9214C">
              <w:rPr>
                <w:rFonts w:ascii="Calibri" w:hAnsi="Calibri" w:cs="Calibri"/>
                <w:kern w:val="24"/>
              </w:rPr>
              <w:t>in their own right for</w:t>
            </w:r>
            <w:proofErr w:type="gramEnd"/>
            <w:r w:rsidR="00E9214C" w:rsidRPr="00E9214C">
              <w:rPr>
                <w:rFonts w:ascii="Calibri" w:hAnsi="Calibri" w:cs="Calibri"/>
                <w:kern w:val="24"/>
              </w:rPr>
              <w:t xml:space="preserve"> the protections of the SCRA, they may indirectly receive the same benefits.  For example, if the servicemember tenant needs to break their lease pursuant to orders to relocate, a co-tenant spouse would be released as well.</w:t>
            </w:r>
          </w:p>
          <w:p w14:paraId="0C5978FB" w14:textId="77777777" w:rsidR="00E9214C" w:rsidRPr="00E9214C" w:rsidRDefault="00E9214C" w:rsidP="00E9214C">
            <w:pPr>
              <w:autoSpaceDE w:val="0"/>
              <w:autoSpaceDN w:val="0"/>
              <w:adjustRightInd w:val="0"/>
              <w:rPr>
                <w:rFonts w:ascii="Calibri" w:hAnsi="Calibri" w:cs="Calibri"/>
                <w:kern w:val="24"/>
                <w:szCs w:val="24"/>
              </w:rPr>
            </w:pPr>
            <w:r w:rsidRPr="00E9214C">
              <w:rPr>
                <w:rFonts w:ascii="Calibri" w:hAnsi="Calibri" w:cs="Calibri"/>
                <w:kern w:val="24"/>
                <w:szCs w:val="24"/>
              </w:rPr>
              <w:t xml:space="preserve">If, however, a servicemember’s spouse </w:t>
            </w:r>
            <w:proofErr w:type="gramStart"/>
            <w:r w:rsidRPr="00E9214C">
              <w:rPr>
                <w:rFonts w:ascii="Calibri" w:hAnsi="Calibri" w:cs="Calibri"/>
                <w:kern w:val="24"/>
                <w:szCs w:val="24"/>
              </w:rPr>
              <w:t>entered into</w:t>
            </w:r>
            <w:proofErr w:type="gramEnd"/>
            <w:r w:rsidRPr="00E9214C">
              <w:rPr>
                <w:rFonts w:ascii="Calibri" w:hAnsi="Calibri" w:cs="Calibri"/>
                <w:kern w:val="24"/>
                <w:szCs w:val="24"/>
              </w:rPr>
              <w:t xml:space="preserve"> a lease on their own, the spouse, as a lone tenant, would not get the protections of the SCRA even if their spouse receives orders to relocate.</w:t>
            </w:r>
          </w:p>
          <w:p w14:paraId="458B3158" w14:textId="5F82EF40" w:rsidR="00986B02" w:rsidRDefault="00986B02" w:rsidP="00986B02">
            <w:pPr>
              <w:autoSpaceDE w:val="0"/>
              <w:autoSpaceDN w:val="0"/>
              <w:adjustRightInd w:val="0"/>
              <w:rPr>
                <w:rFonts w:ascii="Arial" w:hAnsi="Arial" w:cs="Arial"/>
                <w:szCs w:val="24"/>
              </w:rPr>
            </w:pPr>
          </w:p>
          <w:p w14:paraId="07F0C79A" w14:textId="77777777" w:rsidR="00986B02" w:rsidRDefault="00986B02"/>
        </w:tc>
      </w:tr>
      <w:tr w:rsidR="00986B02" w14:paraId="5C0D8DFF" w14:textId="77777777" w:rsidTr="00E9214C">
        <w:trPr>
          <w:trHeight w:val="4000"/>
        </w:trPr>
        <w:tc>
          <w:tcPr>
            <w:tcW w:w="1368" w:type="dxa"/>
          </w:tcPr>
          <w:p w14:paraId="3E1F1099" w14:textId="77777777" w:rsidR="00986B02" w:rsidRDefault="00986B02">
            <w:r>
              <w:lastRenderedPageBreak/>
              <w:t>Slide 6</w:t>
            </w:r>
          </w:p>
        </w:tc>
        <w:tc>
          <w:tcPr>
            <w:tcW w:w="3996" w:type="dxa"/>
          </w:tcPr>
          <w:p w14:paraId="48CC8C7B" w14:textId="1C32A731" w:rsidR="00986B02" w:rsidRDefault="00E9214C">
            <w:r w:rsidRPr="00E9214C">
              <w:rPr>
                <w:noProof/>
              </w:rPr>
              <w:drawing>
                <wp:inline distT="0" distB="0" distL="0" distR="0" wp14:anchorId="5E44C75C" wp14:editId="0FA0F5FB">
                  <wp:extent cx="2400300" cy="1350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0300" cy="1350010"/>
                          </a:xfrm>
                          <a:prstGeom prst="rect">
                            <a:avLst/>
                          </a:prstGeom>
                        </pic:spPr>
                      </pic:pic>
                    </a:graphicData>
                  </a:graphic>
                </wp:inline>
              </w:drawing>
            </w:r>
          </w:p>
        </w:tc>
        <w:tc>
          <w:tcPr>
            <w:tcW w:w="3996" w:type="dxa"/>
          </w:tcPr>
          <w:p w14:paraId="04F607DF"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[Instructor]:</w:t>
            </w:r>
            <w:r>
              <w:rPr>
                <w:rFonts w:ascii="Calibri" w:hAnsi="Calibri" w:cs="Calibri"/>
                <w:kern w:val="24"/>
                <w:szCs w:val="24"/>
              </w:rPr>
              <w:t xml:space="preserve"> </w:t>
            </w:r>
            <w:r w:rsidR="00E9214C" w:rsidRPr="00E9214C">
              <w:rPr>
                <w:rFonts w:ascii="Calibri" w:hAnsi="Calibri" w:cs="Calibri"/>
                <w:kern w:val="24"/>
              </w:rPr>
              <w:t>The rights of the SCRA apply when a servicemember receives official orders to permanently relocate or deploy.  “Permanent” = for a period of 90 days or more.</w:t>
            </w:r>
          </w:p>
          <w:p w14:paraId="6D98A37E" w14:textId="77777777" w:rsidR="00E9214C" w:rsidRPr="00E9214C" w:rsidRDefault="00E9214C" w:rsidP="00E9214C">
            <w:pPr>
              <w:autoSpaceDE w:val="0"/>
              <w:autoSpaceDN w:val="0"/>
              <w:adjustRightInd w:val="0"/>
              <w:rPr>
                <w:rFonts w:ascii="Calibri" w:hAnsi="Calibri" w:cs="Calibri"/>
                <w:kern w:val="24"/>
                <w:szCs w:val="24"/>
              </w:rPr>
            </w:pPr>
            <w:r w:rsidRPr="00E9214C">
              <w:rPr>
                <w:rFonts w:ascii="Calibri" w:hAnsi="Calibri" w:cs="Calibri"/>
                <w:kern w:val="24"/>
                <w:szCs w:val="24"/>
              </w:rPr>
              <w:t>Official orders to report to a military or governmental location for a temporary period of less than 90 days does not give the servicemember the right to terminate a residential lease without penalty.</w:t>
            </w:r>
          </w:p>
          <w:p w14:paraId="6A362EC9" w14:textId="13C4FC6E" w:rsidR="00986B02" w:rsidRDefault="00986B02" w:rsidP="00986B02">
            <w:pPr>
              <w:autoSpaceDE w:val="0"/>
              <w:autoSpaceDN w:val="0"/>
              <w:adjustRightInd w:val="0"/>
              <w:rPr>
                <w:rFonts w:ascii="Calibri" w:hAnsi="Calibri" w:cs="Calibri"/>
                <w:kern w:val="24"/>
                <w:szCs w:val="24"/>
              </w:rPr>
            </w:pPr>
          </w:p>
          <w:p w14:paraId="3BADC8A2" w14:textId="77777777" w:rsidR="00986B02" w:rsidRDefault="00986B02" w:rsidP="00986B02">
            <w:pPr>
              <w:autoSpaceDE w:val="0"/>
              <w:autoSpaceDN w:val="0"/>
              <w:adjustRightInd w:val="0"/>
              <w:rPr>
                <w:rFonts w:ascii="Arial" w:hAnsi="Arial" w:cs="Arial"/>
                <w:szCs w:val="24"/>
              </w:rPr>
            </w:pPr>
          </w:p>
          <w:p w14:paraId="14F6D31C" w14:textId="77777777" w:rsidR="00986B02" w:rsidRDefault="00986B02"/>
        </w:tc>
      </w:tr>
      <w:tr w:rsidR="00986B02" w14:paraId="777A712E" w14:textId="77777777" w:rsidTr="00E9214C">
        <w:trPr>
          <w:trHeight w:val="4000"/>
        </w:trPr>
        <w:tc>
          <w:tcPr>
            <w:tcW w:w="1368" w:type="dxa"/>
          </w:tcPr>
          <w:p w14:paraId="0F0D4BA7" w14:textId="77777777" w:rsidR="00986B02" w:rsidRDefault="00986B02">
            <w:r>
              <w:t>Slide 7</w:t>
            </w:r>
          </w:p>
        </w:tc>
        <w:tc>
          <w:tcPr>
            <w:tcW w:w="3996" w:type="dxa"/>
          </w:tcPr>
          <w:p w14:paraId="0C1BFB3F" w14:textId="28070890" w:rsidR="00986B02" w:rsidRDefault="00E9214C">
            <w:r w:rsidRPr="00E9214C">
              <w:rPr>
                <w:noProof/>
              </w:rPr>
              <w:drawing>
                <wp:inline distT="0" distB="0" distL="0" distR="0" wp14:anchorId="30E04452" wp14:editId="26A9C69F">
                  <wp:extent cx="2400300" cy="13500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00300" cy="1350010"/>
                          </a:xfrm>
                          <a:prstGeom prst="rect">
                            <a:avLst/>
                          </a:prstGeom>
                        </pic:spPr>
                      </pic:pic>
                    </a:graphicData>
                  </a:graphic>
                </wp:inline>
              </w:drawing>
            </w:r>
          </w:p>
        </w:tc>
        <w:tc>
          <w:tcPr>
            <w:tcW w:w="3996" w:type="dxa"/>
          </w:tcPr>
          <w:p w14:paraId="3CBEA97D"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 xml:space="preserve">[Instructor] </w:t>
            </w:r>
            <w:r w:rsidR="00E9214C" w:rsidRPr="00E9214C">
              <w:rPr>
                <w:rFonts w:ascii="Calibri" w:hAnsi="Calibri" w:cs="Calibri"/>
                <w:kern w:val="24"/>
              </w:rPr>
              <w:t>The old requirement in the VRLTA that orders to relocate be for a location that is at least 35 miles or farther from the rental unit has been removed.  The orders to relocate can be for any location, no matter how close the relocation is to the rental property.  This supersedes any language in the lease regarding a 35-mile radius or any other minimum-distance requirement.</w:t>
            </w:r>
          </w:p>
          <w:p w14:paraId="28824E7E" w14:textId="7978EF9B" w:rsidR="00986B02" w:rsidRDefault="00986B02" w:rsidP="00986B02">
            <w:pPr>
              <w:autoSpaceDE w:val="0"/>
              <w:autoSpaceDN w:val="0"/>
              <w:adjustRightInd w:val="0"/>
              <w:rPr>
                <w:rFonts w:ascii="Calibri" w:hAnsi="Calibri" w:cs="Calibri"/>
                <w:kern w:val="24"/>
                <w:szCs w:val="24"/>
              </w:rPr>
            </w:pPr>
          </w:p>
          <w:p w14:paraId="2D20273D" w14:textId="77777777" w:rsidR="00986B02" w:rsidRDefault="00986B02" w:rsidP="00986B02">
            <w:pPr>
              <w:autoSpaceDE w:val="0"/>
              <w:autoSpaceDN w:val="0"/>
              <w:adjustRightInd w:val="0"/>
              <w:rPr>
                <w:rFonts w:ascii="Arial" w:hAnsi="Arial" w:cs="Arial"/>
                <w:szCs w:val="24"/>
              </w:rPr>
            </w:pPr>
          </w:p>
          <w:p w14:paraId="458E19A4" w14:textId="77777777" w:rsidR="00986B02" w:rsidRDefault="00986B02"/>
        </w:tc>
      </w:tr>
      <w:tr w:rsidR="00986B02" w14:paraId="247AA538" w14:textId="77777777" w:rsidTr="00E9214C">
        <w:trPr>
          <w:trHeight w:val="7019"/>
        </w:trPr>
        <w:tc>
          <w:tcPr>
            <w:tcW w:w="1368" w:type="dxa"/>
          </w:tcPr>
          <w:p w14:paraId="2F54F24A" w14:textId="77777777" w:rsidR="00986B02" w:rsidRDefault="00986B02">
            <w:r>
              <w:lastRenderedPageBreak/>
              <w:t>Slide 8</w:t>
            </w:r>
          </w:p>
        </w:tc>
        <w:tc>
          <w:tcPr>
            <w:tcW w:w="3996" w:type="dxa"/>
          </w:tcPr>
          <w:p w14:paraId="68DFCF08" w14:textId="2F49E2E1" w:rsidR="00986B02" w:rsidRDefault="00E9214C">
            <w:r w:rsidRPr="00E9214C">
              <w:rPr>
                <w:noProof/>
              </w:rPr>
              <w:drawing>
                <wp:inline distT="0" distB="0" distL="0" distR="0" wp14:anchorId="4091B0AC" wp14:editId="303395A5">
                  <wp:extent cx="2400300" cy="13500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00300" cy="1350010"/>
                          </a:xfrm>
                          <a:prstGeom prst="rect">
                            <a:avLst/>
                          </a:prstGeom>
                        </pic:spPr>
                      </pic:pic>
                    </a:graphicData>
                  </a:graphic>
                </wp:inline>
              </w:drawing>
            </w:r>
          </w:p>
        </w:tc>
        <w:tc>
          <w:tcPr>
            <w:tcW w:w="3996" w:type="dxa"/>
          </w:tcPr>
          <w:p w14:paraId="06839C56" w14:textId="77777777" w:rsidR="00E9214C" w:rsidRPr="00E9214C" w:rsidRDefault="00986B02" w:rsidP="00E9214C">
            <w:pPr>
              <w:autoSpaceDE w:val="0"/>
              <w:autoSpaceDN w:val="0"/>
              <w:adjustRightInd w:val="0"/>
              <w:rPr>
                <w:rFonts w:ascii="Calibri" w:hAnsi="Calibri" w:cs="Calibri"/>
                <w:kern w:val="24"/>
              </w:rPr>
            </w:pPr>
            <w:r>
              <w:rPr>
                <w:rFonts w:ascii="Calibri" w:hAnsi="Calibri" w:cs="Calibri"/>
                <w:b/>
                <w:bCs/>
                <w:kern w:val="24"/>
                <w:szCs w:val="24"/>
              </w:rPr>
              <w:t xml:space="preserve">[Instructor] </w:t>
            </w:r>
            <w:r w:rsidR="00E9214C" w:rsidRPr="00E9214C">
              <w:rPr>
                <w:rFonts w:ascii="Calibri" w:hAnsi="Calibri" w:cs="Calibri"/>
                <w:kern w:val="24"/>
              </w:rPr>
              <w:t>Tenants who qualify to terminate a rental agreement shall do so by serving on the landlord a written notice of termination to be effective on a date stated in such written notice.</w:t>
            </w:r>
          </w:p>
          <w:p w14:paraId="754C2047" w14:textId="77777777" w:rsidR="00E9214C" w:rsidRDefault="00E9214C" w:rsidP="00E9214C">
            <w:pPr>
              <w:autoSpaceDE w:val="0"/>
              <w:autoSpaceDN w:val="0"/>
              <w:adjustRightInd w:val="0"/>
              <w:rPr>
                <w:rFonts w:ascii="Calibri" w:hAnsi="Calibri" w:cs="Calibri"/>
                <w:kern w:val="24"/>
                <w:szCs w:val="24"/>
              </w:rPr>
            </w:pPr>
          </w:p>
          <w:p w14:paraId="02114711" w14:textId="22BADA0E" w:rsidR="00E9214C" w:rsidRPr="00E9214C" w:rsidRDefault="00E9214C" w:rsidP="00E9214C">
            <w:pPr>
              <w:autoSpaceDE w:val="0"/>
              <w:autoSpaceDN w:val="0"/>
              <w:adjustRightInd w:val="0"/>
              <w:rPr>
                <w:rFonts w:ascii="Calibri" w:hAnsi="Calibri" w:cs="Calibri"/>
                <w:kern w:val="24"/>
                <w:szCs w:val="24"/>
              </w:rPr>
            </w:pPr>
            <w:r w:rsidRPr="00E9214C">
              <w:rPr>
                <w:rFonts w:ascii="Calibri" w:hAnsi="Calibri" w:cs="Calibri"/>
                <w:kern w:val="24"/>
                <w:szCs w:val="24"/>
              </w:rPr>
              <w:t xml:space="preserve">Such date to be not less than 30 days after the first date on which the next rental payment is due and payable after the date on which the written notice is given. The termination date shall be no more than 60 days prior to the date of departure necessary to comply with the official orders or any supplemental instructions for interim training or duty prior to the transfer. </w:t>
            </w:r>
          </w:p>
          <w:p w14:paraId="09BFEB84" w14:textId="77777777" w:rsidR="00E9214C" w:rsidRDefault="00E9214C" w:rsidP="00E9214C">
            <w:pPr>
              <w:autoSpaceDE w:val="0"/>
              <w:autoSpaceDN w:val="0"/>
              <w:adjustRightInd w:val="0"/>
              <w:rPr>
                <w:rFonts w:ascii="Calibri" w:hAnsi="Calibri" w:cs="Calibri"/>
                <w:kern w:val="24"/>
                <w:szCs w:val="24"/>
              </w:rPr>
            </w:pPr>
          </w:p>
          <w:p w14:paraId="6BE01703" w14:textId="1CD746B2" w:rsidR="00E9214C" w:rsidRPr="00E9214C" w:rsidRDefault="00E9214C" w:rsidP="00E9214C">
            <w:pPr>
              <w:autoSpaceDE w:val="0"/>
              <w:autoSpaceDN w:val="0"/>
              <w:adjustRightInd w:val="0"/>
              <w:rPr>
                <w:rFonts w:ascii="Calibri" w:hAnsi="Calibri" w:cs="Calibri"/>
                <w:kern w:val="24"/>
                <w:szCs w:val="24"/>
              </w:rPr>
            </w:pPr>
            <w:r w:rsidRPr="00E9214C">
              <w:rPr>
                <w:rFonts w:ascii="Calibri" w:hAnsi="Calibri" w:cs="Calibri"/>
                <w:kern w:val="24"/>
                <w:szCs w:val="24"/>
              </w:rPr>
              <w:t>Prior to the termination date, the tenant shall furnish the landlord with a copy of the official notification of the orders or a signed letter, confirming the orders, from the tenant's commanding officer.</w:t>
            </w:r>
          </w:p>
          <w:p w14:paraId="5C29EC6B" w14:textId="77777777" w:rsidR="00986B02" w:rsidRDefault="00986B02" w:rsidP="00986B02">
            <w:pPr>
              <w:autoSpaceDE w:val="0"/>
              <w:autoSpaceDN w:val="0"/>
              <w:adjustRightInd w:val="0"/>
              <w:rPr>
                <w:rFonts w:ascii="Arial" w:hAnsi="Arial" w:cs="Arial"/>
                <w:szCs w:val="24"/>
              </w:rPr>
            </w:pPr>
          </w:p>
          <w:p w14:paraId="4F5FACF2" w14:textId="77777777" w:rsidR="00986B02" w:rsidRDefault="00986B02"/>
        </w:tc>
      </w:tr>
      <w:tr w:rsidR="00986B02" w14:paraId="1564B3BA" w14:textId="77777777" w:rsidTr="00E9214C">
        <w:trPr>
          <w:trHeight w:val="4000"/>
        </w:trPr>
        <w:tc>
          <w:tcPr>
            <w:tcW w:w="1368" w:type="dxa"/>
          </w:tcPr>
          <w:p w14:paraId="10211F00" w14:textId="77777777" w:rsidR="00986B02" w:rsidRDefault="00986B02">
            <w:r>
              <w:t>Slide 9</w:t>
            </w:r>
          </w:p>
        </w:tc>
        <w:tc>
          <w:tcPr>
            <w:tcW w:w="3996" w:type="dxa"/>
          </w:tcPr>
          <w:p w14:paraId="61AF0BAE" w14:textId="33C3CB1C" w:rsidR="00986B02" w:rsidRDefault="00E9214C">
            <w:r w:rsidRPr="00E9214C">
              <w:rPr>
                <w:noProof/>
              </w:rPr>
              <w:drawing>
                <wp:inline distT="0" distB="0" distL="0" distR="0" wp14:anchorId="7953B50E" wp14:editId="1B55C9A8">
                  <wp:extent cx="2400300" cy="13500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300" cy="1350010"/>
                          </a:xfrm>
                          <a:prstGeom prst="rect">
                            <a:avLst/>
                          </a:prstGeom>
                        </pic:spPr>
                      </pic:pic>
                    </a:graphicData>
                  </a:graphic>
                </wp:inline>
              </w:drawing>
            </w:r>
          </w:p>
        </w:tc>
        <w:tc>
          <w:tcPr>
            <w:tcW w:w="3996" w:type="dxa"/>
          </w:tcPr>
          <w:p w14:paraId="135FF365" w14:textId="780C46F5" w:rsidR="00986B02" w:rsidRDefault="00986B02" w:rsidP="00986B02">
            <w:pPr>
              <w:autoSpaceDE w:val="0"/>
              <w:autoSpaceDN w:val="0"/>
              <w:adjustRightInd w:val="0"/>
              <w:rPr>
                <w:rFonts w:ascii="Calibri" w:hAnsi="Calibri" w:cs="Calibri"/>
                <w:kern w:val="24"/>
                <w:szCs w:val="24"/>
              </w:rPr>
            </w:pPr>
            <w:r>
              <w:rPr>
                <w:rFonts w:ascii="Calibri" w:hAnsi="Calibri" w:cs="Calibri"/>
                <w:b/>
                <w:bCs/>
                <w:kern w:val="24"/>
                <w:szCs w:val="24"/>
              </w:rPr>
              <w:t xml:space="preserve">[Instructor] </w:t>
            </w:r>
            <w:r w:rsidR="00E9214C">
              <w:rPr>
                <w:rFonts w:ascii="Calibri" w:hAnsi="Calibri" w:cs="Calibri"/>
                <w:kern w:val="24"/>
                <w:szCs w:val="24"/>
              </w:rPr>
              <w:t>Any questions?</w:t>
            </w:r>
            <w:r>
              <w:rPr>
                <w:rFonts w:ascii="Calibri" w:hAnsi="Calibri" w:cs="Calibri"/>
                <w:kern w:val="24"/>
                <w:szCs w:val="24"/>
              </w:rPr>
              <w:t xml:space="preserve"> </w:t>
            </w:r>
          </w:p>
          <w:p w14:paraId="630933B8" w14:textId="77777777" w:rsidR="00986B02" w:rsidRDefault="00986B02" w:rsidP="00986B02">
            <w:pPr>
              <w:autoSpaceDE w:val="0"/>
              <w:autoSpaceDN w:val="0"/>
              <w:adjustRightInd w:val="0"/>
              <w:rPr>
                <w:rFonts w:ascii="Arial" w:hAnsi="Arial" w:cs="Arial"/>
                <w:szCs w:val="24"/>
              </w:rPr>
            </w:pPr>
          </w:p>
          <w:p w14:paraId="7312055D" w14:textId="77777777" w:rsidR="00986B02" w:rsidRDefault="00986B02"/>
        </w:tc>
      </w:tr>
    </w:tbl>
    <w:p w14:paraId="61F5B3D8" w14:textId="77777777" w:rsidR="005D1CC1" w:rsidRDefault="00AF6EFF"/>
    <w:sectPr w:rsidR="005D1CC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B460" w14:textId="77777777" w:rsidR="00AF6EFF" w:rsidRDefault="00AF6EFF" w:rsidP="00986B02">
      <w:r>
        <w:separator/>
      </w:r>
    </w:p>
  </w:endnote>
  <w:endnote w:type="continuationSeparator" w:id="0">
    <w:p w14:paraId="30992304" w14:textId="77777777" w:rsidR="00AF6EFF" w:rsidRDefault="00AF6EFF" w:rsidP="0098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473476"/>
      <w:docPartObj>
        <w:docPartGallery w:val="Page Numbers (Bottom of Page)"/>
        <w:docPartUnique/>
      </w:docPartObj>
    </w:sdtPr>
    <w:sdtEndPr/>
    <w:sdtContent>
      <w:sdt>
        <w:sdtPr>
          <w:id w:val="1728636285"/>
          <w:docPartObj>
            <w:docPartGallery w:val="Page Numbers (Top of Page)"/>
            <w:docPartUnique/>
          </w:docPartObj>
        </w:sdtPr>
        <w:sdtEndPr/>
        <w:sdtContent>
          <w:p w14:paraId="7EF9BED2" w14:textId="69E0B49B" w:rsidR="00986B02" w:rsidRDefault="00986B0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6CA9E5" w14:textId="49F60A66" w:rsidR="00986B02" w:rsidRDefault="00986B02" w:rsidP="00986B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6C60" w14:textId="77777777" w:rsidR="00AF6EFF" w:rsidRDefault="00AF6EFF" w:rsidP="00986B02">
      <w:r>
        <w:separator/>
      </w:r>
    </w:p>
  </w:footnote>
  <w:footnote w:type="continuationSeparator" w:id="0">
    <w:p w14:paraId="6D16E485" w14:textId="77777777" w:rsidR="00AF6EFF" w:rsidRDefault="00AF6EFF" w:rsidP="0098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FA17" w14:textId="421C0AD5" w:rsidR="00986B02" w:rsidRDefault="00974591" w:rsidP="00986B02">
    <w:pPr>
      <w:pStyle w:val="Header"/>
      <w:jc w:val="center"/>
    </w:pPr>
    <w:r>
      <w:t>SCRA</w:t>
    </w:r>
    <w:r w:rsidR="00986B02">
      <w:t xml:space="preserve"> Broker Toolkit</w:t>
    </w:r>
  </w:p>
  <w:p w14:paraId="2EC896E8" w14:textId="2EF7637C" w:rsidR="00986B02" w:rsidRDefault="00986B02" w:rsidP="00986B02">
    <w:pPr>
      <w:pStyle w:val="Header"/>
      <w:jc w:val="center"/>
    </w:pPr>
    <w:r>
      <w:t>Instructor Guide</w:t>
    </w:r>
  </w:p>
  <w:p w14:paraId="63B058EC" w14:textId="77777777" w:rsidR="00986B02" w:rsidRDefault="00986B02" w:rsidP="00986B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B02"/>
    <w:rsid w:val="000447CE"/>
    <w:rsid w:val="000A345C"/>
    <w:rsid w:val="000C16F0"/>
    <w:rsid w:val="001A7CE2"/>
    <w:rsid w:val="00210A5E"/>
    <w:rsid w:val="002525D4"/>
    <w:rsid w:val="005B3649"/>
    <w:rsid w:val="005C69B5"/>
    <w:rsid w:val="005D7702"/>
    <w:rsid w:val="008D34B5"/>
    <w:rsid w:val="00921B7E"/>
    <w:rsid w:val="00974591"/>
    <w:rsid w:val="00986B02"/>
    <w:rsid w:val="009B6211"/>
    <w:rsid w:val="009F5571"/>
    <w:rsid w:val="00A1131F"/>
    <w:rsid w:val="00AF6EFF"/>
    <w:rsid w:val="00B54FC5"/>
    <w:rsid w:val="00C84B42"/>
    <w:rsid w:val="00D16C61"/>
    <w:rsid w:val="00DC1763"/>
    <w:rsid w:val="00E04DD3"/>
    <w:rsid w:val="00E54842"/>
    <w:rsid w:val="00E9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EBB34"/>
  <w15:chartTrackingRefBased/>
  <w15:docId w15:val="{5D82FFB4-F6CE-486A-BFE8-BC764A6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02"/>
    <w:pPr>
      <w:tabs>
        <w:tab w:val="center" w:pos="4680"/>
        <w:tab w:val="right" w:pos="9360"/>
      </w:tabs>
    </w:pPr>
  </w:style>
  <w:style w:type="character" w:customStyle="1" w:styleId="HeaderChar">
    <w:name w:val="Header Char"/>
    <w:basedOn w:val="DefaultParagraphFont"/>
    <w:link w:val="Header"/>
    <w:uiPriority w:val="99"/>
    <w:rsid w:val="00986B02"/>
  </w:style>
  <w:style w:type="paragraph" w:styleId="Footer">
    <w:name w:val="footer"/>
    <w:basedOn w:val="Normal"/>
    <w:link w:val="FooterChar"/>
    <w:uiPriority w:val="99"/>
    <w:unhideWhenUsed/>
    <w:rsid w:val="00986B02"/>
    <w:pPr>
      <w:tabs>
        <w:tab w:val="center" w:pos="4680"/>
        <w:tab w:val="right" w:pos="9360"/>
      </w:tabs>
    </w:pPr>
  </w:style>
  <w:style w:type="character" w:customStyle="1" w:styleId="FooterChar">
    <w:name w:val="Footer Char"/>
    <w:basedOn w:val="DefaultParagraphFont"/>
    <w:link w:val="Footer"/>
    <w:uiPriority w:val="99"/>
    <w:rsid w:val="00986B02"/>
  </w:style>
  <w:style w:type="paragraph" w:styleId="NormalWeb">
    <w:name w:val="Normal (Web)"/>
    <w:basedOn w:val="Normal"/>
    <w:uiPriority w:val="99"/>
    <w:semiHidden/>
    <w:unhideWhenUsed/>
    <w:rsid w:val="00E9214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4596">
      <w:bodyDiv w:val="1"/>
      <w:marLeft w:val="0"/>
      <w:marRight w:val="0"/>
      <w:marTop w:val="0"/>
      <w:marBottom w:val="0"/>
      <w:divBdr>
        <w:top w:val="none" w:sz="0" w:space="0" w:color="auto"/>
        <w:left w:val="none" w:sz="0" w:space="0" w:color="auto"/>
        <w:bottom w:val="none" w:sz="0" w:space="0" w:color="auto"/>
        <w:right w:val="none" w:sz="0" w:space="0" w:color="auto"/>
      </w:divBdr>
    </w:div>
    <w:div w:id="312832729">
      <w:bodyDiv w:val="1"/>
      <w:marLeft w:val="0"/>
      <w:marRight w:val="0"/>
      <w:marTop w:val="0"/>
      <w:marBottom w:val="0"/>
      <w:divBdr>
        <w:top w:val="none" w:sz="0" w:space="0" w:color="auto"/>
        <w:left w:val="none" w:sz="0" w:space="0" w:color="auto"/>
        <w:bottom w:val="none" w:sz="0" w:space="0" w:color="auto"/>
        <w:right w:val="none" w:sz="0" w:space="0" w:color="auto"/>
      </w:divBdr>
    </w:div>
    <w:div w:id="654064234">
      <w:bodyDiv w:val="1"/>
      <w:marLeft w:val="0"/>
      <w:marRight w:val="0"/>
      <w:marTop w:val="0"/>
      <w:marBottom w:val="0"/>
      <w:divBdr>
        <w:top w:val="none" w:sz="0" w:space="0" w:color="auto"/>
        <w:left w:val="none" w:sz="0" w:space="0" w:color="auto"/>
        <w:bottom w:val="none" w:sz="0" w:space="0" w:color="auto"/>
        <w:right w:val="none" w:sz="0" w:space="0" w:color="auto"/>
      </w:divBdr>
    </w:div>
    <w:div w:id="1214000478">
      <w:bodyDiv w:val="1"/>
      <w:marLeft w:val="0"/>
      <w:marRight w:val="0"/>
      <w:marTop w:val="0"/>
      <w:marBottom w:val="0"/>
      <w:divBdr>
        <w:top w:val="none" w:sz="0" w:space="0" w:color="auto"/>
        <w:left w:val="none" w:sz="0" w:space="0" w:color="auto"/>
        <w:bottom w:val="none" w:sz="0" w:space="0" w:color="auto"/>
        <w:right w:val="none" w:sz="0" w:space="0" w:color="auto"/>
      </w:divBdr>
    </w:div>
    <w:div w:id="1548907747">
      <w:bodyDiv w:val="1"/>
      <w:marLeft w:val="0"/>
      <w:marRight w:val="0"/>
      <w:marTop w:val="0"/>
      <w:marBottom w:val="0"/>
      <w:divBdr>
        <w:top w:val="none" w:sz="0" w:space="0" w:color="auto"/>
        <w:left w:val="none" w:sz="0" w:space="0" w:color="auto"/>
        <w:bottom w:val="none" w:sz="0" w:space="0" w:color="auto"/>
        <w:right w:val="none" w:sz="0" w:space="0" w:color="auto"/>
      </w:divBdr>
    </w:div>
    <w:div w:id="1719279185">
      <w:bodyDiv w:val="1"/>
      <w:marLeft w:val="0"/>
      <w:marRight w:val="0"/>
      <w:marTop w:val="0"/>
      <w:marBottom w:val="0"/>
      <w:divBdr>
        <w:top w:val="none" w:sz="0" w:space="0" w:color="auto"/>
        <w:left w:val="none" w:sz="0" w:space="0" w:color="auto"/>
        <w:bottom w:val="none" w:sz="0" w:space="0" w:color="auto"/>
        <w:right w:val="none" w:sz="0" w:space="0" w:color="auto"/>
      </w:divBdr>
    </w:div>
    <w:div w:id="21395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9205D-8AC1-48B3-9393-2F6DFA1FB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99BA2-B446-42F1-A993-6D515B56C831}">
  <ds:schemaRefs>
    <ds:schemaRef ds:uri="http://schemas.microsoft.com/sharepoint/v3/contenttype/forms"/>
  </ds:schemaRefs>
</ds:datastoreItem>
</file>

<file path=customXml/itemProps3.xml><?xml version="1.0" encoding="utf-8"?>
<ds:datastoreItem xmlns:ds="http://schemas.openxmlformats.org/officeDocument/2006/customXml" ds:itemID="{D2EDF62C-08C5-45F4-A075-AB351912B1E8}"/>
</file>

<file path=docProps/app.xml><?xml version="1.0" encoding="utf-8"?>
<Properties xmlns="http://schemas.openxmlformats.org/officeDocument/2006/extended-properties" xmlns:vt="http://schemas.openxmlformats.org/officeDocument/2006/docPropsVTypes">
  <Template>Normal.dotm</Template>
  <TotalTime>4</TotalTime>
  <Pages>4</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Haley</dc:creator>
  <cp:keywords/>
  <dc:description/>
  <cp:lastModifiedBy>Leonard, Ryan</cp:lastModifiedBy>
  <cp:revision>3</cp:revision>
  <dcterms:created xsi:type="dcterms:W3CDTF">2024-10-28T19:44:00Z</dcterms:created>
  <dcterms:modified xsi:type="dcterms:W3CDTF">2024-10-28T19:49:00Z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