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Look w:val="0000" w:firstRow="0" w:lastRow="0" w:firstColumn="0" w:lastColumn="0" w:noHBand="0" w:noVBand="0"/>
      </w:tblPr>
      <w:tblGrid>
        <w:gridCol w:w="1368"/>
        <w:gridCol w:w="3996"/>
        <w:gridCol w:w="3996"/>
      </w:tblGrid>
      <w:tr w:rsidR="003612A1" w14:paraId="175ADB03" w14:textId="77777777" w:rsidTr="003612A1">
        <w:tblPrEx>
          <w:tblCellMar>
            <w:top w:w="0" w:type="dxa"/>
            <w:bottom w:w="0" w:type="dxa"/>
          </w:tblCellMar>
        </w:tblPrEx>
        <w:trPr>
          <w:trHeight w:val="4000"/>
        </w:trPr>
        <w:tc>
          <w:tcPr>
            <w:tcW w:w="1368" w:type="dxa"/>
          </w:tcPr>
          <w:p w14:paraId="72E05109" w14:textId="585C7287" w:rsidR="003612A1" w:rsidRDefault="003612A1">
            <w:r>
              <w:t>Slide 1</w:t>
            </w:r>
          </w:p>
        </w:tc>
        <w:tc>
          <w:tcPr>
            <w:tcW w:w="3996" w:type="dxa"/>
          </w:tcPr>
          <w:p w14:paraId="2291B491" w14:textId="514F6935" w:rsidR="003612A1" w:rsidRDefault="003612A1">
            <w:r>
              <w:object w:dxaOrig="9605" w:dyaOrig="5393" w14:anchorId="67386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88938713" r:id="rId5"/>
              </w:object>
            </w:r>
          </w:p>
        </w:tc>
        <w:tc>
          <w:tcPr>
            <w:tcW w:w="3996" w:type="dxa"/>
          </w:tcPr>
          <w:p w14:paraId="4AC8E08A" w14:textId="77777777" w:rsidR="003612A1" w:rsidRDefault="003612A1"/>
        </w:tc>
      </w:tr>
      <w:tr w:rsidR="003612A1" w14:paraId="6CE99740" w14:textId="77777777" w:rsidTr="003612A1">
        <w:tblPrEx>
          <w:tblCellMar>
            <w:top w:w="0" w:type="dxa"/>
            <w:bottom w:w="0" w:type="dxa"/>
          </w:tblCellMar>
        </w:tblPrEx>
        <w:trPr>
          <w:trHeight w:val="4000"/>
        </w:trPr>
        <w:tc>
          <w:tcPr>
            <w:tcW w:w="1368" w:type="dxa"/>
          </w:tcPr>
          <w:p w14:paraId="01536EC1" w14:textId="38E8CD0A" w:rsidR="003612A1" w:rsidRDefault="003612A1">
            <w:r>
              <w:t>Slide 2</w:t>
            </w:r>
          </w:p>
        </w:tc>
        <w:tc>
          <w:tcPr>
            <w:tcW w:w="3996" w:type="dxa"/>
          </w:tcPr>
          <w:p w14:paraId="78CC9822" w14:textId="6D49E2C1" w:rsidR="003612A1" w:rsidRDefault="003612A1">
            <w:r>
              <w:object w:dxaOrig="9605" w:dyaOrig="5393" w14:anchorId="0A8BA4CD">
                <v:shape id="_x0000_i1030" type="#_x0000_t75" style="width:192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0" DrawAspect="Content" ObjectID="_1788938714" r:id="rId7"/>
              </w:object>
            </w:r>
          </w:p>
        </w:tc>
        <w:tc>
          <w:tcPr>
            <w:tcW w:w="3996" w:type="dxa"/>
          </w:tcPr>
          <w:p w14:paraId="5C82248E"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[Read Slide]</w:t>
            </w:r>
          </w:p>
          <w:p w14:paraId="07C137D4"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5BF54F21" w14:textId="77777777" w:rsidR="003612A1" w:rsidRDefault="003612A1"/>
        </w:tc>
      </w:tr>
      <w:tr w:rsidR="003612A1" w14:paraId="21404020" w14:textId="77777777" w:rsidTr="003612A1">
        <w:tblPrEx>
          <w:tblCellMar>
            <w:top w:w="0" w:type="dxa"/>
            <w:bottom w:w="0" w:type="dxa"/>
          </w:tblCellMar>
        </w:tblPrEx>
        <w:trPr>
          <w:trHeight w:val="4000"/>
        </w:trPr>
        <w:tc>
          <w:tcPr>
            <w:tcW w:w="1368" w:type="dxa"/>
          </w:tcPr>
          <w:p w14:paraId="762F8C53" w14:textId="28751F74" w:rsidR="003612A1" w:rsidRDefault="003612A1">
            <w:r>
              <w:t>Slide 3</w:t>
            </w:r>
          </w:p>
        </w:tc>
        <w:tc>
          <w:tcPr>
            <w:tcW w:w="3996" w:type="dxa"/>
          </w:tcPr>
          <w:p w14:paraId="19273B46" w14:textId="722C42DA" w:rsidR="003612A1" w:rsidRDefault="003612A1">
            <w:r>
              <w:object w:dxaOrig="9605" w:dyaOrig="5393" w14:anchorId="4E85C776">
                <v:shape id="_x0000_i1036"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6" DrawAspect="Content" ObjectID="_1788938715" r:id="rId9"/>
              </w:object>
            </w:r>
          </w:p>
        </w:tc>
        <w:tc>
          <w:tcPr>
            <w:tcW w:w="3996" w:type="dxa"/>
          </w:tcPr>
          <w:p w14:paraId="048DA972"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 xml:space="preserve">The Virginia REALTORS® Exclusive Authorization to Sell Agreement (Form 400) provides the option for setting a dual or variable rate commission arrangement. </w:t>
            </w:r>
          </w:p>
          <w:p w14:paraId="49AA30A9" w14:textId="77777777" w:rsidR="003612A1" w:rsidRDefault="003612A1" w:rsidP="003612A1">
            <w:pPr>
              <w:autoSpaceDE w:val="0"/>
              <w:autoSpaceDN w:val="0"/>
              <w:adjustRightInd w:val="0"/>
              <w:spacing w:after="0" w:line="240" w:lineRule="auto"/>
              <w:rPr>
                <w:rFonts w:ascii="Aptos" w:hAnsi="Aptos" w:cs="Aptos"/>
                <w:kern w:val="24"/>
                <w:sz w:val="24"/>
                <w:szCs w:val="24"/>
              </w:rPr>
            </w:pPr>
          </w:p>
          <w:p w14:paraId="2119B0B8"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 xml:space="preserve">The listing firm may charge different professional service fees based on the agency relationship that develops in the transaction. </w:t>
            </w:r>
          </w:p>
          <w:p w14:paraId="719D36D7" w14:textId="77777777" w:rsidR="003612A1" w:rsidRDefault="003612A1" w:rsidP="003612A1">
            <w:pPr>
              <w:autoSpaceDE w:val="0"/>
              <w:autoSpaceDN w:val="0"/>
              <w:adjustRightInd w:val="0"/>
              <w:spacing w:after="0" w:line="240" w:lineRule="auto"/>
              <w:rPr>
                <w:rFonts w:ascii="Aptos" w:hAnsi="Aptos" w:cs="Aptos"/>
                <w:kern w:val="24"/>
                <w:sz w:val="24"/>
                <w:szCs w:val="24"/>
              </w:rPr>
            </w:pPr>
          </w:p>
          <w:p w14:paraId="374DD88E"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1119AE4B" w14:textId="77777777" w:rsidR="003612A1" w:rsidRDefault="003612A1"/>
        </w:tc>
      </w:tr>
      <w:tr w:rsidR="003612A1" w14:paraId="180239EE" w14:textId="77777777" w:rsidTr="003612A1">
        <w:tblPrEx>
          <w:tblCellMar>
            <w:top w:w="0" w:type="dxa"/>
            <w:bottom w:w="0" w:type="dxa"/>
          </w:tblCellMar>
        </w:tblPrEx>
        <w:trPr>
          <w:trHeight w:val="4000"/>
        </w:trPr>
        <w:tc>
          <w:tcPr>
            <w:tcW w:w="1368" w:type="dxa"/>
          </w:tcPr>
          <w:p w14:paraId="21CAB37F" w14:textId="1B3ACEF8" w:rsidR="003612A1" w:rsidRDefault="003612A1">
            <w:r>
              <w:lastRenderedPageBreak/>
              <w:t>Slide 4</w:t>
            </w:r>
          </w:p>
        </w:tc>
        <w:tc>
          <w:tcPr>
            <w:tcW w:w="3996" w:type="dxa"/>
          </w:tcPr>
          <w:p w14:paraId="7854D3FE" w14:textId="291B45E8" w:rsidR="003612A1" w:rsidRDefault="003612A1">
            <w:r>
              <w:object w:dxaOrig="9605" w:dyaOrig="5393" w14:anchorId="7109608E">
                <v:shape id="_x0000_i1042"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2" DrawAspect="Content" ObjectID="_1788938716" r:id="rId11"/>
              </w:object>
            </w:r>
          </w:p>
        </w:tc>
        <w:tc>
          <w:tcPr>
            <w:tcW w:w="3996" w:type="dxa"/>
          </w:tcPr>
          <w:p w14:paraId="53F96BD8"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[Read Slide]</w:t>
            </w:r>
          </w:p>
          <w:p w14:paraId="22AB0D58"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6955B4B4" w14:textId="77777777" w:rsidR="003612A1" w:rsidRDefault="003612A1"/>
        </w:tc>
      </w:tr>
      <w:tr w:rsidR="003612A1" w14:paraId="7DE026BB" w14:textId="77777777" w:rsidTr="003612A1">
        <w:tblPrEx>
          <w:tblCellMar>
            <w:top w:w="0" w:type="dxa"/>
            <w:bottom w:w="0" w:type="dxa"/>
          </w:tblCellMar>
        </w:tblPrEx>
        <w:trPr>
          <w:trHeight w:val="4000"/>
        </w:trPr>
        <w:tc>
          <w:tcPr>
            <w:tcW w:w="1368" w:type="dxa"/>
          </w:tcPr>
          <w:p w14:paraId="3B9F9B78" w14:textId="0F06E040" w:rsidR="003612A1" w:rsidRDefault="003612A1">
            <w:r>
              <w:t>Slide 5</w:t>
            </w:r>
          </w:p>
        </w:tc>
        <w:tc>
          <w:tcPr>
            <w:tcW w:w="3996" w:type="dxa"/>
          </w:tcPr>
          <w:p w14:paraId="751C0EB3" w14:textId="2C5E6448" w:rsidR="003612A1" w:rsidRDefault="003612A1">
            <w:r>
              <w:object w:dxaOrig="9605" w:dyaOrig="5393" w14:anchorId="033D053F">
                <v:shape id="_x0000_i1048"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8" DrawAspect="Content" ObjectID="_1788938717" r:id="rId13"/>
              </w:object>
            </w:r>
          </w:p>
        </w:tc>
        <w:tc>
          <w:tcPr>
            <w:tcW w:w="3996" w:type="dxa"/>
          </w:tcPr>
          <w:p w14:paraId="12E4937F" w14:textId="77777777" w:rsidR="003612A1" w:rsidRDefault="003612A1" w:rsidP="003612A1">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[Read Slide]</w:t>
            </w:r>
          </w:p>
          <w:p w14:paraId="65FB2CA7" w14:textId="77777777" w:rsidR="003612A1" w:rsidRDefault="003612A1" w:rsidP="003612A1">
            <w:pPr>
              <w:autoSpaceDE w:val="0"/>
              <w:autoSpaceDN w:val="0"/>
              <w:adjustRightInd w:val="0"/>
              <w:spacing w:after="0" w:line="240" w:lineRule="auto"/>
              <w:rPr>
                <w:rFonts w:ascii="Calibri" w:eastAsia="Times New Roman" w:hAnsi="Times New Roman" w:cs="Calibri"/>
                <w:kern w:val="24"/>
                <w:sz w:val="24"/>
                <w:szCs w:val="24"/>
              </w:rPr>
            </w:pPr>
          </w:p>
          <w:p w14:paraId="6FECE160" w14:textId="77777777" w:rsidR="003612A1" w:rsidRDefault="003612A1" w:rsidP="003612A1">
            <w:pPr>
              <w:autoSpaceDE w:val="0"/>
              <w:autoSpaceDN w:val="0"/>
              <w:adjustRightInd w:val="0"/>
              <w:spacing w:after="0" w:line="240" w:lineRule="auto"/>
              <w:rPr>
                <w:rFonts w:ascii="Times New Roman" w:eastAsia="Times New Roman" w:hAnsi="Times New Roman" w:cs="Times New Roman"/>
                <w:kern w:val="24"/>
                <w:sz w:val="24"/>
                <w:szCs w:val="24"/>
              </w:rPr>
            </w:pPr>
            <w:r>
              <w:rPr>
                <w:rFonts w:ascii="Calibri" w:eastAsia="Times New Roman" w:hAnsi="Times New Roman" w:cs="Calibri"/>
                <w:kern w:val="24"/>
                <w:sz w:val="24"/>
                <w:szCs w:val="24"/>
              </w:rPr>
              <w:t xml:space="preserve">Some important things to remember about this Standard of Practice: the listing broker has an affirmative obligation to disclose the existence of the variable rate. This used to be done easily with a check box or field in the MLS systems. Now that cooperative compensation is prohibited on the MLS, most if not all MLSs have removed the field to disclose the existence of a variable rate commission. So, listing agents need to make this disclosure in some other way. </w:t>
            </w:r>
          </w:p>
          <w:p w14:paraId="6D8F107D"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506CED80" w14:textId="77777777" w:rsidR="003612A1" w:rsidRDefault="003612A1"/>
        </w:tc>
      </w:tr>
      <w:tr w:rsidR="003612A1" w14:paraId="0BF69D8D" w14:textId="77777777" w:rsidTr="003612A1">
        <w:tblPrEx>
          <w:tblCellMar>
            <w:top w:w="0" w:type="dxa"/>
            <w:bottom w:w="0" w:type="dxa"/>
          </w:tblCellMar>
        </w:tblPrEx>
        <w:trPr>
          <w:trHeight w:val="4000"/>
        </w:trPr>
        <w:tc>
          <w:tcPr>
            <w:tcW w:w="1368" w:type="dxa"/>
          </w:tcPr>
          <w:p w14:paraId="4C333B1F" w14:textId="2908D856" w:rsidR="003612A1" w:rsidRDefault="003612A1">
            <w:r>
              <w:lastRenderedPageBreak/>
              <w:t>Slide 6</w:t>
            </w:r>
          </w:p>
        </w:tc>
        <w:tc>
          <w:tcPr>
            <w:tcW w:w="3996" w:type="dxa"/>
          </w:tcPr>
          <w:p w14:paraId="646FE196" w14:textId="74A919E9" w:rsidR="003612A1" w:rsidRDefault="003612A1">
            <w:r>
              <w:object w:dxaOrig="9605" w:dyaOrig="5393" w14:anchorId="1F9E9FBF">
                <v:shape id="_x0000_i1054"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4" DrawAspect="Content" ObjectID="_1788938718" r:id="rId15"/>
              </w:object>
            </w:r>
          </w:p>
        </w:tc>
        <w:tc>
          <w:tcPr>
            <w:tcW w:w="3996" w:type="dxa"/>
          </w:tcPr>
          <w:p w14:paraId="10C1FADA"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[Read Slide]</w:t>
            </w:r>
          </w:p>
          <w:p w14:paraId="7CC12461"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332E22B7" w14:textId="77777777" w:rsidR="003612A1" w:rsidRDefault="003612A1"/>
        </w:tc>
      </w:tr>
      <w:tr w:rsidR="003612A1" w14:paraId="7498E7FD" w14:textId="77777777" w:rsidTr="003612A1">
        <w:tblPrEx>
          <w:tblCellMar>
            <w:top w:w="0" w:type="dxa"/>
            <w:bottom w:w="0" w:type="dxa"/>
          </w:tblCellMar>
        </w:tblPrEx>
        <w:trPr>
          <w:trHeight w:val="4000"/>
        </w:trPr>
        <w:tc>
          <w:tcPr>
            <w:tcW w:w="1368" w:type="dxa"/>
          </w:tcPr>
          <w:p w14:paraId="2379485F" w14:textId="0C4F78CD" w:rsidR="003612A1" w:rsidRDefault="003612A1">
            <w:r>
              <w:t>Slide 7</w:t>
            </w:r>
          </w:p>
        </w:tc>
        <w:tc>
          <w:tcPr>
            <w:tcW w:w="3996" w:type="dxa"/>
          </w:tcPr>
          <w:p w14:paraId="7EDA22A0" w14:textId="658ECC16" w:rsidR="003612A1" w:rsidRDefault="003612A1">
            <w:r>
              <w:object w:dxaOrig="9605" w:dyaOrig="5393" w14:anchorId="6A77ADCC">
                <v:shape id="_x0000_i1060" type="#_x0000_t75" style="width:192pt;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0" DrawAspect="Content" ObjectID="_1788938719" r:id="rId17"/>
              </w:object>
            </w:r>
          </w:p>
        </w:tc>
        <w:tc>
          <w:tcPr>
            <w:tcW w:w="3996" w:type="dxa"/>
          </w:tcPr>
          <w:p w14:paraId="269F3944" w14:textId="77777777" w:rsidR="003612A1" w:rsidRDefault="003612A1" w:rsidP="003612A1">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[Read Slide]</w:t>
            </w:r>
          </w:p>
          <w:p w14:paraId="45649D9A" w14:textId="77777777" w:rsidR="003612A1" w:rsidRDefault="003612A1" w:rsidP="003612A1">
            <w:pPr>
              <w:autoSpaceDE w:val="0"/>
              <w:autoSpaceDN w:val="0"/>
              <w:adjustRightInd w:val="0"/>
              <w:spacing w:after="0" w:line="240" w:lineRule="auto"/>
              <w:rPr>
                <w:rFonts w:ascii="Calibri" w:eastAsia="Times New Roman" w:hAnsi="Times New Roman" w:cs="Calibri"/>
                <w:kern w:val="24"/>
                <w:sz w:val="24"/>
                <w:szCs w:val="24"/>
              </w:rPr>
            </w:pPr>
          </w:p>
          <w:p w14:paraId="3FFEE3C1" w14:textId="77777777" w:rsidR="003612A1" w:rsidRDefault="003612A1" w:rsidP="003612A1">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 xml:space="preserve">Why does this Standard of Practice exist in the first place? </w:t>
            </w:r>
          </w:p>
          <w:p w14:paraId="30742F8B" w14:textId="77777777" w:rsidR="003612A1" w:rsidRDefault="003612A1" w:rsidP="003612A1">
            <w:pPr>
              <w:autoSpaceDE w:val="0"/>
              <w:autoSpaceDN w:val="0"/>
              <w:adjustRightInd w:val="0"/>
              <w:spacing w:after="0" w:line="240" w:lineRule="auto"/>
              <w:rPr>
                <w:rFonts w:ascii="Calibri" w:eastAsia="Times New Roman" w:hAnsi="Times New Roman" w:cs="Calibri"/>
                <w:kern w:val="24"/>
                <w:sz w:val="24"/>
                <w:szCs w:val="24"/>
              </w:rPr>
            </w:pPr>
          </w:p>
          <w:p w14:paraId="7450A575" w14:textId="77777777" w:rsidR="003612A1" w:rsidRDefault="003612A1" w:rsidP="003612A1">
            <w:pPr>
              <w:autoSpaceDE w:val="0"/>
              <w:autoSpaceDN w:val="0"/>
              <w:adjustRightInd w:val="0"/>
              <w:spacing w:after="0" w:line="240" w:lineRule="auto"/>
              <w:rPr>
                <w:rFonts w:ascii="Times New Roman" w:eastAsia="Times New Roman" w:hAnsi="Times New Roman" w:cs="Times New Roman"/>
                <w:kern w:val="24"/>
                <w:sz w:val="24"/>
                <w:szCs w:val="24"/>
              </w:rPr>
            </w:pPr>
            <w:r>
              <w:rPr>
                <w:rFonts w:ascii="Calibri" w:eastAsia="Times New Roman" w:hAnsi="Times New Roman" w:cs="Calibri"/>
                <w:kern w:val="24"/>
                <w:sz w:val="24"/>
                <w:szCs w:val="24"/>
              </w:rPr>
              <w:t xml:space="preserve">If a listing broker charges the seller less overall commission when a transaction involves dual representation than if the transaction involves a buyer broker from another firm, then two offers at the same purchase price will net the seller different amounts at closing. If the buyer represented by a broker from another firm is aware of the difference in the commission amounts, then it gives that buyer an equal opportunity to make a competitive offer with a buyer represented by the listing firm. </w:t>
            </w:r>
          </w:p>
          <w:p w14:paraId="54E88206" w14:textId="77777777" w:rsidR="003612A1" w:rsidRDefault="003612A1" w:rsidP="003612A1">
            <w:pPr>
              <w:autoSpaceDE w:val="0"/>
              <w:autoSpaceDN w:val="0"/>
              <w:adjustRightInd w:val="0"/>
              <w:spacing w:after="0" w:line="240" w:lineRule="auto"/>
              <w:rPr>
                <w:rFonts w:ascii="Aptos" w:hAnsi="Aptos" w:cs="Aptos"/>
                <w:kern w:val="24"/>
                <w:sz w:val="24"/>
                <w:szCs w:val="24"/>
              </w:rPr>
            </w:pPr>
          </w:p>
          <w:p w14:paraId="76D0F838"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116F4439" w14:textId="77777777" w:rsidR="003612A1" w:rsidRDefault="003612A1"/>
        </w:tc>
      </w:tr>
      <w:tr w:rsidR="003612A1" w14:paraId="17289E59" w14:textId="77777777" w:rsidTr="003612A1">
        <w:tblPrEx>
          <w:tblCellMar>
            <w:top w:w="0" w:type="dxa"/>
            <w:bottom w:w="0" w:type="dxa"/>
          </w:tblCellMar>
        </w:tblPrEx>
        <w:trPr>
          <w:trHeight w:val="4000"/>
        </w:trPr>
        <w:tc>
          <w:tcPr>
            <w:tcW w:w="1368" w:type="dxa"/>
          </w:tcPr>
          <w:p w14:paraId="5DA51A89" w14:textId="49CF6698" w:rsidR="003612A1" w:rsidRDefault="003612A1">
            <w:r>
              <w:lastRenderedPageBreak/>
              <w:t>Slide 8</w:t>
            </w:r>
          </w:p>
        </w:tc>
        <w:tc>
          <w:tcPr>
            <w:tcW w:w="3996" w:type="dxa"/>
          </w:tcPr>
          <w:p w14:paraId="21F7D7BB" w14:textId="533E174A" w:rsidR="003612A1" w:rsidRDefault="003612A1">
            <w:r>
              <w:object w:dxaOrig="9605" w:dyaOrig="5393" w14:anchorId="5C1DBCFC">
                <v:shape id="_x0000_i1066" type="#_x0000_t75" style="width:192pt;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6" DrawAspect="Content" ObjectID="_1788938720" r:id="rId19"/>
              </w:object>
            </w:r>
          </w:p>
        </w:tc>
        <w:tc>
          <w:tcPr>
            <w:tcW w:w="3996" w:type="dxa"/>
          </w:tcPr>
          <w:p w14:paraId="45DCA90D"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 xml:space="preserve">Here are some resources on this issue. </w:t>
            </w:r>
          </w:p>
          <w:p w14:paraId="3D4E4437" w14:textId="77777777" w:rsidR="003612A1" w:rsidRDefault="003612A1" w:rsidP="003612A1">
            <w:pPr>
              <w:autoSpaceDE w:val="0"/>
              <w:autoSpaceDN w:val="0"/>
              <w:adjustRightInd w:val="0"/>
              <w:spacing w:after="0" w:line="240" w:lineRule="auto"/>
              <w:rPr>
                <w:rFonts w:ascii="Aptos" w:hAnsi="Aptos" w:cs="Aptos"/>
                <w:kern w:val="24"/>
                <w:sz w:val="24"/>
                <w:szCs w:val="24"/>
              </w:rPr>
            </w:pPr>
          </w:p>
          <w:p w14:paraId="7E9BB94F" w14:textId="77777777" w:rsidR="003612A1" w:rsidRDefault="003612A1" w:rsidP="003612A1">
            <w:pPr>
              <w:autoSpaceDE w:val="0"/>
              <w:autoSpaceDN w:val="0"/>
              <w:adjustRightInd w:val="0"/>
              <w:spacing w:after="0" w:line="240" w:lineRule="auto"/>
              <w:rPr>
                <w:rFonts w:ascii="Aptos" w:hAnsi="Aptos" w:cs="Aptos"/>
                <w:kern w:val="24"/>
                <w:sz w:val="24"/>
                <w:szCs w:val="24"/>
              </w:rPr>
            </w:pPr>
            <w:r>
              <w:rPr>
                <w:rFonts w:ascii="Aptos" w:hAnsi="Aptos" w:cs="Aptos"/>
                <w:kern w:val="24"/>
                <w:sz w:val="24"/>
                <w:szCs w:val="24"/>
              </w:rPr>
              <w:t xml:space="preserve">NAR’s case interpretations highlight how an ethics violation may occur by failing to disclose a dual/variable rate commission arrangement. </w:t>
            </w:r>
          </w:p>
          <w:p w14:paraId="372108E8" w14:textId="77777777" w:rsidR="003612A1" w:rsidRDefault="003612A1" w:rsidP="003612A1">
            <w:pPr>
              <w:autoSpaceDE w:val="0"/>
              <w:autoSpaceDN w:val="0"/>
              <w:adjustRightInd w:val="0"/>
              <w:spacing w:after="0" w:line="240" w:lineRule="auto"/>
              <w:rPr>
                <w:rFonts w:ascii="Arial" w:hAnsi="Arial" w:cs="Arial"/>
                <w:kern w:val="0"/>
                <w:sz w:val="24"/>
                <w:szCs w:val="24"/>
              </w:rPr>
            </w:pPr>
          </w:p>
          <w:p w14:paraId="3C1BF23B" w14:textId="77777777" w:rsidR="003612A1" w:rsidRDefault="003612A1"/>
        </w:tc>
      </w:tr>
    </w:tbl>
    <w:p w14:paraId="1390C381" w14:textId="77777777" w:rsidR="001160A5" w:rsidRDefault="001160A5"/>
    <w:sectPr w:rsidR="001160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A1"/>
    <w:rsid w:val="000400F5"/>
    <w:rsid w:val="001160A5"/>
    <w:rsid w:val="003612A1"/>
    <w:rsid w:val="00D52953"/>
    <w:rsid w:val="00DA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F2AB8"/>
  <w15:chartTrackingRefBased/>
  <w15:docId w15:val="{3F1FFC70-8030-4F22-9971-E27AA2F1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2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12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12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12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12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12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12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12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12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2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12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12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12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12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12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12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12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12A1"/>
    <w:rPr>
      <w:rFonts w:eastAsiaTheme="majorEastAsia" w:cstheme="majorBidi"/>
      <w:color w:val="272727" w:themeColor="text1" w:themeTint="D8"/>
    </w:rPr>
  </w:style>
  <w:style w:type="paragraph" w:styleId="Title">
    <w:name w:val="Title"/>
    <w:basedOn w:val="Normal"/>
    <w:next w:val="Normal"/>
    <w:link w:val="TitleChar"/>
    <w:uiPriority w:val="10"/>
    <w:qFormat/>
    <w:rsid w:val="00361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2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2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12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12A1"/>
    <w:pPr>
      <w:spacing w:before="160"/>
      <w:jc w:val="center"/>
    </w:pPr>
    <w:rPr>
      <w:i/>
      <w:iCs/>
      <w:color w:val="404040" w:themeColor="text1" w:themeTint="BF"/>
    </w:rPr>
  </w:style>
  <w:style w:type="character" w:customStyle="1" w:styleId="QuoteChar">
    <w:name w:val="Quote Char"/>
    <w:basedOn w:val="DefaultParagraphFont"/>
    <w:link w:val="Quote"/>
    <w:uiPriority w:val="29"/>
    <w:rsid w:val="003612A1"/>
    <w:rPr>
      <w:i/>
      <w:iCs/>
      <w:color w:val="404040" w:themeColor="text1" w:themeTint="BF"/>
    </w:rPr>
  </w:style>
  <w:style w:type="paragraph" w:styleId="ListParagraph">
    <w:name w:val="List Paragraph"/>
    <w:basedOn w:val="Normal"/>
    <w:uiPriority w:val="34"/>
    <w:qFormat/>
    <w:rsid w:val="003612A1"/>
    <w:pPr>
      <w:ind w:left="720"/>
      <w:contextualSpacing/>
    </w:pPr>
  </w:style>
  <w:style w:type="character" w:styleId="IntenseEmphasis">
    <w:name w:val="Intense Emphasis"/>
    <w:basedOn w:val="DefaultParagraphFont"/>
    <w:uiPriority w:val="21"/>
    <w:qFormat/>
    <w:rsid w:val="003612A1"/>
    <w:rPr>
      <w:i/>
      <w:iCs/>
      <w:color w:val="0F4761" w:themeColor="accent1" w:themeShade="BF"/>
    </w:rPr>
  </w:style>
  <w:style w:type="paragraph" w:styleId="IntenseQuote">
    <w:name w:val="Intense Quote"/>
    <w:basedOn w:val="Normal"/>
    <w:next w:val="Normal"/>
    <w:link w:val="IntenseQuoteChar"/>
    <w:uiPriority w:val="30"/>
    <w:qFormat/>
    <w:rsid w:val="00361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12A1"/>
    <w:rPr>
      <w:i/>
      <w:iCs/>
      <w:color w:val="0F4761" w:themeColor="accent1" w:themeShade="BF"/>
    </w:rPr>
  </w:style>
  <w:style w:type="character" w:styleId="IntenseReference">
    <w:name w:val="Intense Reference"/>
    <w:basedOn w:val="DefaultParagraphFont"/>
    <w:uiPriority w:val="32"/>
    <w:qFormat/>
    <w:rsid w:val="003612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customXml" Target="../customXml/item3.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customXml" Target="../customXml/item2.xml"/><Relationship Id="rId10" Type="http://schemas.openxmlformats.org/officeDocument/2006/relationships/image" Target="media/image4.emf"/><Relationship Id="rId19" Type="http://schemas.openxmlformats.org/officeDocument/2006/relationships/package" Target="embeddings/Microsoft_PowerPoint_Slide7.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7" ma:contentTypeDescription="Create a new document." ma:contentTypeScope="" ma:versionID="4c1403f75766b9142f526e9e038634c6">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69041064619fec56d016895da18e73d5"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6DAFA0B1-CFB5-4477-9937-0060AE4432C7}"/>
</file>

<file path=customXml/itemProps2.xml><?xml version="1.0" encoding="utf-8"?>
<ds:datastoreItem xmlns:ds="http://schemas.openxmlformats.org/officeDocument/2006/customXml" ds:itemID="{C84DDC7E-99E8-4ED6-8017-B6AE7928323C}"/>
</file>

<file path=customXml/itemProps3.xml><?xml version="1.0" encoding="utf-8"?>
<ds:datastoreItem xmlns:ds="http://schemas.openxmlformats.org/officeDocument/2006/customXml" ds:itemID="{D8D956E2-054B-485A-B69C-66A339D4D6CB}"/>
</file>

<file path=docProps/app.xml><?xml version="1.0" encoding="utf-8"?>
<Properties xmlns="http://schemas.openxmlformats.org/officeDocument/2006/extended-properties" xmlns:vt="http://schemas.openxmlformats.org/officeDocument/2006/docPropsVTypes">
  <Template>Normal</Template>
  <TotalTime>1</TotalTime>
  <Pages>4</Pages>
  <Words>287</Words>
  <Characters>1636</Characters>
  <Application>Microsoft Office Word</Application>
  <DocSecurity>0</DocSecurity>
  <Lines>13</Lines>
  <Paragraphs>3</Paragraphs>
  <ScaleCrop>false</ScaleCrop>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Olk</dc:creator>
  <cp:keywords/>
  <dc:description/>
  <cp:lastModifiedBy>Sean Olk</cp:lastModifiedBy>
  <cp:revision>1</cp:revision>
  <dcterms:created xsi:type="dcterms:W3CDTF">2024-09-27T14:37:00Z</dcterms:created>
  <dcterms:modified xsi:type="dcterms:W3CDTF">2024-09-27T14:38:00Z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