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996"/>
        <w:gridCol w:w="3996"/>
      </w:tblGrid>
      <w:tr w:rsidR="003B5B2F" w14:paraId="2E57A93D" w14:textId="77777777" w:rsidTr="0085129F">
        <w:trPr>
          <w:trHeight w:val="4000"/>
        </w:trPr>
        <w:tc>
          <w:tcPr>
            <w:tcW w:w="1368" w:type="dxa"/>
          </w:tcPr>
          <w:p w14:paraId="04A52186" w14:textId="77777777" w:rsidR="003B5B2F" w:rsidRDefault="003B5B2F" w:rsidP="00C05939">
            <w:r>
              <w:t>Slide 1</w:t>
            </w:r>
          </w:p>
        </w:tc>
        <w:tc>
          <w:tcPr>
            <w:tcW w:w="3996" w:type="dxa"/>
          </w:tcPr>
          <w:p w14:paraId="4E03B652" w14:textId="11096F59" w:rsidR="003B5B2F" w:rsidRDefault="0085129F" w:rsidP="00C05939">
            <w:r w:rsidRPr="0085129F">
              <w:rPr>
                <w:noProof/>
              </w:rPr>
              <w:drawing>
                <wp:inline distT="0" distB="0" distL="0" distR="0" wp14:anchorId="32015CE2" wp14:editId="2F4774F0">
                  <wp:extent cx="2400017" cy="135001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00017" cy="1350010"/>
                          </a:xfrm>
                          <a:prstGeom prst="rect">
                            <a:avLst/>
                          </a:prstGeom>
                        </pic:spPr>
                      </pic:pic>
                    </a:graphicData>
                  </a:graphic>
                </wp:inline>
              </w:drawing>
            </w:r>
          </w:p>
        </w:tc>
        <w:tc>
          <w:tcPr>
            <w:tcW w:w="3996" w:type="dxa"/>
          </w:tcPr>
          <w:p w14:paraId="77F8B170" w14:textId="547324A7" w:rsidR="0085129F" w:rsidRPr="0085129F" w:rsidRDefault="0085129F" w:rsidP="0085129F">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Today we will be discussing t</w:t>
            </w:r>
            <w:r w:rsidRPr="0085129F">
              <w:rPr>
                <w:rFonts w:ascii="Calibri" w:hAnsi="Calibri" w:cs="Calibri"/>
                <w:kern w:val="24"/>
                <w:sz w:val="24"/>
                <w:szCs w:val="24"/>
              </w:rPr>
              <w:t>he NAR Settlement</w:t>
            </w:r>
            <w:r>
              <w:rPr>
                <w:rFonts w:ascii="Calibri" w:hAnsi="Calibri" w:cs="Calibri"/>
                <w:kern w:val="24"/>
                <w:sz w:val="24"/>
                <w:szCs w:val="24"/>
              </w:rPr>
              <w:t xml:space="preserve">, which </w:t>
            </w:r>
            <w:r w:rsidRPr="0085129F">
              <w:rPr>
                <w:rFonts w:ascii="Calibri" w:hAnsi="Calibri" w:cs="Calibri"/>
                <w:kern w:val="24"/>
                <w:sz w:val="24"/>
                <w:szCs w:val="24"/>
              </w:rPr>
              <w:t>includes a series of changes for the residential real estate industry, all of which are effective August 17, 2024.</w:t>
            </w:r>
          </w:p>
          <w:p w14:paraId="21394D50" w14:textId="77777777" w:rsidR="003B5B2F" w:rsidRDefault="003B5B2F" w:rsidP="00C05939"/>
        </w:tc>
      </w:tr>
      <w:tr w:rsidR="003B5B2F" w14:paraId="3BFD92FA" w14:textId="77777777" w:rsidTr="0085129F">
        <w:trPr>
          <w:trHeight w:val="4000"/>
        </w:trPr>
        <w:tc>
          <w:tcPr>
            <w:tcW w:w="1368" w:type="dxa"/>
          </w:tcPr>
          <w:p w14:paraId="74046552" w14:textId="77777777" w:rsidR="003B5B2F" w:rsidRDefault="003B5B2F" w:rsidP="00C05939">
            <w:r>
              <w:t>Slide 2</w:t>
            </w:r>
          </w:p>
        </w:tc>
        <w:tc>
          <w:tcPr>
            <w:tcW w:w="3996" w:type="dxa"/>
          </w:tcPr>
          <w:p w14:paraId="67AFE4A9" w14:textId="0572B33E" w:rsidR="003B5B2F" w:rsidRDefault="0085129F" w:rsidP="00C05939">
            <w:r w:rsidRPr="0085129F">
              <w:rPr>
                <w:noProof/>
              </w:rPr>
              <w:drawing>
                <wp:inline distT="0" distB="0" distL="0" distR="0" wp14:anchorId="1C530155" wp14:editId="26769BE5">
                  <wp:extent cx="2400017" cy="1350010"/>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00017" cy="1350010"/>
                          </a:xfrm>
                          <a:prstGeom prst="rect">
                            <a:avLst/>
                          </a:prstGeom>
                        </pic:spPr>
                      </pic:pic>
                    </a:graphicData>
                  </a:graphic>
                </wp:inline>
              </w:drawing>
            </w:r>
          </w:p>
        </w:tc>
        <w:tc>
          <w:tcPr>
            <w:tcW w:w="3996" w:type="dxa"/>
          </w:tcPr>
          <w:p w14:paraId="4CAFD212" w14:textId="77777777" w:rsidR="0085129F" w:rsidRPr="0085129F" w:rsidRDefault="0085129F" w:rsidP="0085129F">
            <w:pPr>
              <w:autoSpaceDE w:val="0"/>
              <w:autoSpaceDN w:val="0"/>
              <w:adjustRightInd w:val="0"/>
              <w:spacing w:after="0" w:line="240" w:lineRule="auto"/>
              <w:rPr>
                <w:rFonts w:ascii="Calibri" w:hAnsi="Calibri" w:cs="Calibri"/>
                <w:kern w:val="24"/>
                <w:sz w:val="24"/>
                <w:szCs w:val="24"/>
              </w:rPr>
            </w:pPr>
            <w:r w:rsidRPr="0085129F">
              <w:rPr>
                <w:rFonts w:ascii="Calibri" w:hAnsi="Calibri" w:cs="Calibri"/>
                <w:kern w:val="24"/>
                <w:sz w:val="24"/>
                <w:szCs w:val="24"/>
              </w:rPr>
              <w:t>The Settlement prohibits REALTOR</w:t>
            </w:r>
            <w:r w:rsidRPr="0085129F">
              <w:rPr>
                <w:rFonts w:ascii="Calibri" w:hAnsi="Calibri" w:cs="Calibri"/>
                <w:kern w:val="24"/>
                <w:sz w:val="24"/>
                <w:szCs w:val="24"/>
                <w:vertAlign w:val="superscript"/>
              </w:rPr>
              <w:t>®</w:t>
            </w:r>
            <w:r w:rsidRPr="0085129F">
              <w:rPr>
                <w:rFonts w:ascii="Calibri" w:hAnsi="Calibri" w:cs="Calibri"/>
                <w:kern w:val="24"/>
                <w:sz w:val="24"/>
                <w:szCs w:val="24"/>
              </w:rPr>
              <w:t> MLS Participants and sellers from making offers of compensation through the MLS or disclosing on the MLS the listing broker or total broker compensation.  This includes a prohibition on mentioning an offer of compensation in agent remarks, in an uploaded document, or via any other method on the MLS.</w:t>
            </w:r>
          </w:p>
          <w:p w14:paraId="101AE9CA" w14:textId="77777777" w:rsidR="0085129F" w:rsidRPr="0085129F" w:rsidRDefault="0085129F" w:rsidP="0085129F">
            <w:pPr>
              <w:autoSpaceDE w:val="0"/>
              <w:autoSpaceDN w:val="0"/>
              <w:adjustRightInd w:val="0"/>
              <w:spacing w:after="0" w:line="240" w:lineRule="auto"/>
              <w:rPr>
                <w:rFonts w:ascii="Calibri" w:hAnsi="Calibri" w:cs="Calibri"/>
                <w:kern w:val="24"/>
                <w:sz w:val="24"/>
                <w:szCs w:val="24"/>
              </w:rPr>
            </w:pPr>
            <w:r w:rsidRPr="0085129F">
              <w:rPr>
                <w:rFonts w:ascii="Calibri" w:hAnsi="Calibri" w:cs="Calibri"/>
                <w:kern w:val="24"/>
                <w:sz w:val="24"/>
                <w:szCs w:val="24"/>
              </w:rPr>
              <w:t> </w:t>
            </w:r>
          </w:p>
          <w:p w14:paraId="6DD4CF66" w14:textId="12075994" w:rsidR="003B5B2F" w:rsidRDefault="0085129F" w:rsidP="00C05939">
            <w:pPr>
              <w:autoSpaceDE w:val="0"/>
              <w:autoSpaceDN w:val="0"/>
              <w:adjustRightInd w:val="0"/>
              <w:spacing w:after="0" w:line="240" w:lineRule="auto"/>
              <w:rPr>
                <w:rFonts w:ascii="Calibri" w:hAnsi="Calibri" w:cs="Calibri"/>
                <w:kern w:val="24"/>
                <w:sz w:val="24"/>
                <w:szCs w:val="24"/>
              </w:rPr>
            </w:pPr>
            <w:r w:rsidRPr="0085129F">
              <w:rPr>
                <w:rFonts w:ascii="Calibri" w:hAnsi="Calibri" w:cs="Calibri"/>
                <w:kern w:val="24"/>
                <w:sz w:val="24"/>
                <w:szCs w:val="24"/>
              </w:rPr>
              <w:t>However, sellers can continue to offer seller concessions for costs associated with the transaction, but such offer of concessions cannot be restricted to the buyer using a buyer broker or paying buyer broker compensation. This means that any seller offered concessions listed in the MLS can be used by a buyer to pay any expenses the buyer wishes.</w:t>
            </w:r>
          </w:p>
          <w:p w14:paraId="71A99B4F" w14:textId="77777777" w:rsidR="003B5B2F" w:rsidRDefault="003B5B2F" w:rsidP="00C05939">
            <w:pPr>
              <w:autoSpaceDE w:val="0"/>
              <w:autoSpaceDN w:val="0"/>
              <w:adjustRightInd w:val="0"/>
              <w:spacing w:after="0" w:line="240" w:lineRule="auto"/>
              <w:rPr>
                <w:rFonts w:ascii="Arial" w:hAnsi="Arial" w:cs="Arial"/>
                <w:sz w:val="24"/>
                <w:szCs w:val="24"/>
              </w:rPr>
            </w:pPr>
          </w:p>
          <w:p w14:paraId="12B81B57" w14:textId="77777777" w:rsidR="003B5B2F" w:rsidRDefault="003B5B2F" w:rsidP="00C05939"/>
        </w:tc>
      </w:tr>
      <w:tr w:rsidR="003B5B2F" w14:paraId="47FE8A93" w14:textId="77777777" w:rsidTr="0085129F">
        <w:trPr>
          <w:trHeight w:val="80"/>
        </w:trPr>
        <w:tc>
          <w:tcPr>
            <w:tcW w:w="1368" w:type="dxa"/>
          </w:tcPr>
          <w:p w14:paraId="09FC4768" w14:textId="77777777" w:rsidR="003B5B2F" w:rsidRDefault="003B5B2F" w:rsidP="00C05939">
            <w:r>
              <w:lastRenderedPageBreak/>
              <w:t>Slide 3</w:t>
            </w:r>
          </w:p>
        </w:tc>
        <w:tc>
          <w:tcPr>
            <w:tcW w:w="3996" w:type="dxa"/>
          </w:tcPr>
          <w:p w14:paraId="2E4C184E" w14:textId="2F39FCAF" w:rsidR="003B5B2F" w:rsidRDefault="0085129F" w:rsidP="00C05939">
            <w:r w:rsidRPr="0085129F">
              <w:rPr>
                <w:noProof/>
              </w:rPr>
              <w:drawing>
                <wp:inline distT="0" distB="0" distL="0" distR="0" wp14:anchorId="5E9F82F0" wp14:editId="72C263AB">
                  <wp:extent cx="2400017" cy="135001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0017" cy="1350010"/>
                          </a:xfrm>
                          <a:prstGeom prst="rect">
                            <a:avLst/>
                          </a:prstGeom>
                        </pic:spPr>
                      </pic:pic>
                    </a:graphicData>
                  </a:graphic>
                </wp:inline>
              </w:drawing>
            </w:r>
          </w:p>
        </w:tc>
        <w:tc>
          <w:tcPr>
            <w:tcW w:w="3996" w:type="dxa"/>
          </w:tcPr>
          <w:p w14:paraId="017766DE" w14:textId="77777777" w:rsidR="0085129F" w:rsidRPr="0085129F" w:rsidRDefault="0085129F" w:rsidP="0085129F">
            <w:pPr>
              <w:autoSpaceDE w:val="0"/>
              <w:autoSpaceDN w:val="0"/>
              <w:adjustRightInd w:val="0"/>
              <w:spacing w:after="0" w:line="240" w:lineRule="auto"/>
              <w:rPr>
                <w:rFonts w:ascii="Calibri" w:hAnsi="Calibri" w:cs="Calibri"/>
                <w:kern w:val="24"/>
                <w:sz w:val="24"/>
                <w:szCs w:val="24"/>
              </w:rPr>
            </w:pPr>
            <w:r w:rsidRPr="0085129F">
              <w:rPr>
                <w:rFonts w:ascii="Calibri" w:hAnsi="Calibri" w:cs="Calibri"/>
                <w:kern w:val="24"/>
                <w:sz w:val="24"/>
                <w:szCs w:val="24"/>
              </w:rPr>
              <w:t>The settlement requires NAR “not to create, facilitate, or support any non-MLS mechanism (including by providing listing information to an internet aggregators’ website for such purpose) for listing brokers or sellers to make offers of compensation to buyer brokers or other buyer representatives (either directly or through buyers).”</w:t>
            </w:r>
          </w:p>
          <w:p w14:paraId="5CB1FE2E" w14:textId="77777777" w:rsidR="0085129F" w:rsidRPr="0085129F" w:rsidRDefault="0085129F" w:rsidP="0085129F">
            <w:pPr>
              <w:autoSpaceDE w:val="0"/>
              <w:autoSpaceDN w:val="0"/>
              <w:adjustRightInd w:val="0"/>
              <w:spacing w:after="0" w:line="240" w:lineRule="auto"/>
              <w:rPr>
                <w:rFonts w:ascii="Calibri" w:hAnsi="Calibri" w:cs="Calibri"/>
                <w:kern w:val="24"/>
                <w:sz w:val="24"/>
                <w:szCs w:val="24"/>
              </w:rPr>
            </w:pPr>
            <w:r w:rsidRPr="0085129F">
              <w:rPr>
                <w:rFonts w:ascii="Calibri" w:hAnsi="Calibri" w:cs="Calibri"/>
                <w:kern w:val="24"/>
                <w:sz w:val="24"/>
                <w:szCs w:val="24"/>
              </w:rPr>
              <w:t>Forming a website, blog, or social media group in which information about cooperative compensation is shared between brokerages would likewise present an anti-trust problem.  Nothing, however, prevents a brokerage from advertising cooperative compensation on its own firm website.</w:t>
            </w:r>
          </w:p>
          <w:p w14:paraId="6985AB03" w14:textId="29506FFA" w:rsidR="00D478F2" w:rsidRPr="00D478F2" w:rsidRDefault="00D478F2" w:rsidP="00D478F2">
            <w:pPr>
              <w:autoSpaceDE w:val="0"/>
              <w:autoSpaceDN w:val="0"/>
              <w:adjustRightInd w:val="0"/>
              <w:spacing w:after="0" w:line="240" w:lineRule="auto"/>
              <w:rPr>
                <w:rFonts w:ascii="Calibri" w:hAnsi="Calibri" w:cs="Calibri"/>
                <w:kern w:val="24"/>
                <w:sz w:val="24"/>
                <w:szCs w:val="24"/>
              </w:rPr>
            </w:pPr>
          </w:p>
        </w:tc>
      </w:tr>
      <w:tr w:rsidR="003B5B2F" w14:paraId="2446986B" w14:textId="77777777" w:rsidTr="0085129F">
        <w:trPr>
          <w:trHeight w:val="4000"/>
        </w:trPr>
        <w:tc>
          <w:tcPr>
            <w:tcW w:w="1368" w:type="dxa"/>
          </w:tcPr>
          <w:p w14:paraId="0B17063E" w14:textId="77777777" w:rsidR="003B5B2F" w:rsidRDefault="003B5B2F" w:rsidP="00C05939">
            <w:r>
              <w:t>Slide 4</w:t>
            </w:r>
          </w:p>
        </w:tc>
        <w:tc>
          <w:tcPr>
            <w:tcW w:w="3996" w:type="dxa"/>
          </w:tcPr>
          <w:p w14:paraId="0D572E07" w14:textId="70717D2E" w:rsidR="003B5B2F" w:rsidRDefault="0085129F" w:rsidP="00C05939">
            <w:r w:rsidRPr="0085129F">
              <w:rPr>
                <w:noProof/>
              </w:rPr>
              <w:drawing>
                <wp:inline distT="0" distB="0" distL="0" distR="0" wp14:anchorId="4CDC3E7A" wp14:editId="35C8C88C">
                  <wp:extent cx="2400017" cy="1350010"/>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00017" cy="1350010"/>
                          </a:xfrm>
                          <a:prstGeom prst="rect">
                            <a:avLst/>
                          </a:prstGeom>
                        </pic:spPr>
                      </pic:pic>
                    </a:graphicData>
                  </a:graphic>
                </wp:inline>
              </w:drawing>
            </w:r>
          </w:p>
        </w:tc>
        <w:tc>
          <w:tcPr>
            <w:tcW w:w="3996" w:type="dxa"/>
          </w:tcPr>
          <w:p w14:paraId="33F80015" w14:textId="77777777" w:rsidR="0085129F" w:rsidRPr="0085129F" w:rsidRDefault="0085129F" w:rsidP="0085129F">
            <w:pPr>
              <w:autoSpaceDE w:val="0"/>
              <w:autoSpaceDN w:val="0"/>
              <w:adjustRightInd w:val="0"/>
              <w:spacing w:after="0" w:line="240" w:lineRule="auto"/>
              <w:rPr>
                <w:rFonts w:ascii="Calibri" w:hAnsi="Calibri" w:cs="Calibri"/>
                <w:kern w:val="24"/>
                <w:sz w:val="24"/>
                <w:szCs w:val="24"/>
              </w:rPr>
            </w:pPr>
            <w:r w:rsidRPr="0085129F">
              <w:rPr>
                <w:rFonts w:ascii="Calibri" w:hAnsi="Calibri" w:cs="Calibri"/>
                <w:kern w:val="24"/>
                <w:sz w:val="24"/>
                <w:szCs w:val="24"/>
              </w:rPr>
              <w:t xml:space="preserve">Just as before the settlement, cooperative compensation may be offered but is in no way required to be offered.  A buyer’s agent cannot refuse to show properties to a buyer based on the cooperative compensation being offered, or lack thereof.  Likewise, a buyer’s agent cannot unilaterally decide to negotiate for higher cooperative compensation as a condition of the transaction.  </w:t>
            </w:r>
          </w:p>
          <w:p w14:paraId="4C28078F" w14:textId="77777777" w:rsidR="0085129F" w:rsidRPr="0085129F" w:rsidRDefault="0085129F" w:rsidP="0085129F">
            <w:pPr>
              <w:autoSpaceDE w:val="0"/>
              <w:autoSpaceDN w:val="0"/>
              <w:adjustRightInd w:val="0"/>
              <w:spacing w:after="0" w:line="240" w:lineRule="auto"/>
              <w:rPr>
                <w:rFonts w:ascii="Calibri" w:hAnsi="Calibri" w:cs="Calibri"/>
                <w:kern w:val="24"/>
                <w:sz w:val="24"/>
                <w:szCs w:val="24"/>
              </w:rPr>
            </w:pPr>
            <w:r w:rsidRPr="0085129F">
              <w:rPr>
                <w:rFonts w:ascii="Calibri" w:hAnsi="Calibri" w:cs="Calibri"/>
                <w:kern w:val="24"/>
                <w:sz w:val="24"/>
                <w:szCs w:val="24"/>
              </w:rPr>
              <w:t>Nothing, however, prevents a buyer from requesting to only see properties that offer a certain level of cooperative compensation, nor are buyers prevented from negotiating for higher cooperative compensation.</w:t>
            </w:r>
          </w:p>
          <w:p w14:paraId="4628BF7A" w14:textId="77777777" w:rsidR="003B5B2F" w:rsidRPr="00D478F2" w:rsidRDefault="003B5B2F" w:rsidP="00C05939">
            <w:pPr>
              <w:rPr>
                <w:sz w:val="24"/>
                <w:szCs w:val="24"/>
              </w:rPr>
            </w:pPr>
          </w:p>
        </w:tc>
      </w:tr>
      <w:tr w:rsidR="003B5B2F" w14:paraId="7BCBD7BE" w14:textId="77777777" w:rsidTr="0085129F">
        <w:trPr>
          <w:trHeight w:val="4000"/>
        </w:trPr>
        <w:tc>
          <w:tcPr>
            <w:tcW w:w="1368" w:type="dxa"/>
          </w:tcPr>
          <w:p w14:paraId="43520654" w14:textId="77777777" w:rsidR="003B5B2F" w:rsidRDefault="003B5B2F" w:rsidP="00C05939">
            <w:r>
              <w:lastRenderedPageBreak/>
              <w:t>Slide 5</w:t>
            </w:r>
          </w:p>
        </w:tc>
        <w:tc>
          <w:tcPr>
            <w:tcW w:w="3996" w:type="dxa"/>
          </w:tcPr>
          <w:p w14:paraId="3CC9ACF7" w14:textId="226E8B07" w:rsidR="003B5B2F" w:rsidRDefault="0085129F" w:rsidP="00C05939">
            <w:r w:rsidRPr="0085129F">
              <w:rPr>
                <w:noProof/>
              </w:rPr>
              <w:drawing>
                <wp:inline distT="0" distB="0" distL="0" distR="0" wp14:anchorId="05D83DD3" wp14:editId="6725F22E">
                  <wp:extent cx="2400017" cy="1350010"/>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00017" cy="1350010"/>
                          </a:xfrm>
                          <a:prstGeom prst="rect">
                            <a:avLst/>
                          </a:prstGeom>
                        </pic:spPr>
                      </pic:pic>
                    </a:graphicData>
                  </a:graphic>
                </wp:inline>
              </w:drawing>
            </w:r>
          </w:p>
        </w:tc>
        <w:tc>
          <w:tcPr>
            <w:tcW w:w="3996" w:type="dxa"/>
          </w:tcPr>
          <w:p w14:paraId="6D0940F1" w14:textId="117387B9" w:rsidR="003B5B2F" w:rsidRDefault="0085129F" w:rsidP="00C05939">
            <w:pPr>
              <w:autoSpaceDE w:val="0"/>
              <w:autoSpaceDN w:val="0"/>
              <w:adjustRightInd w:val="0"/>
              <w:spacing w:after="0" w:line="240" w:lineRule="auto"/>
              <w:rPr>
                <w:rFonts w:ascii="Calibri" w:hAnsi="Calibri" w:cs="Calibri"/>
                <w:kern w:val="24"/>
                <w:sz w:val="24"/>
                <w:szCs w:val="24"/>
              </w:rPr>
            </w:pPr>
            <w:r w:rsidRPr="0085129F">
              <w:rPr>
                <w:rFonts w:ascii="Calibri" w:hAnsi="Calibri" w:cs="Calibri"/>
                <w:kern w:val="24"/>
                <w:sz w:val="24"/>
                <w:szCs w:val="24"/>
              </w:rPr>
              <w:t xml:space="preserve">When working with a buyer, you </w:t>
            </w:r>
            <w:proofErr w:type="gramStart"/>
            <w:r w:rsidRPr="0085129F">
              <w:rPr>
                <w:rFonts w:ascii="Calibri" w:hAnsi="Calibri" w:cs="Calibri"/>
                <w:kern w:val="24"/>
                <w:sz w:val="24"/>
                <w:szCs w:val="24"/>
              </w:rPr>
              <w:t>have to</w:t>
            </w:r>
            <w:proofErr w:type="gramEnd"/>
            <w:r w:rsidRPr="0085129F">
              <w:rPr>
                <w:rFonts w:ascii="Calibri" w:hAnsi="Calibri" w:cs="Calibri"/>
                <w:kern w:val="24"/>
                <w:sz w:val="24"/>
                <w:szCs w:val="24"/>
              </w:rPr>
              <w:t xml:space="preserve"> have a signed written agreement before showing a house. The law in Virginia says that you don’t have to have a written agreement before showing a house, but just like the Code of Ethics holds REALTORS</w:t>
            </w:r>
            <w:r w:rsidRPr="0085129F">
              <w:rPr>
                <w:rFonts w:ascii="Calibri" w:hAnsi="Calibri" w:cs="Calibri"/>
                <w:kern w:val="24"/>
                <w:sz w:val="24"/>
                <w:szCs w:val="24"/>
                <w:vertAlign w:val="superscript"/>
              </w:rPr>
              <w:t>®</w:t>
            </w:r>
            <w:r w:rsidRPr="0085129F">
              <w:rPr>
                <w:rFonts w:ascii="Calibri" w:hAnsi="Calibri" w:cs="Calibri"/>
                <w:kern w:val="24"/>
                <w:sz w:val="24"/>
                <w:szCs w:val="24"/>
              </w:rPr>
              <w:t> to a higher standard than required by the law, you are being held to a higher standard under the settlement agreement. Note that listing agents, or agents holding an open house, would not need a written agreement with a buyer since they are not “working” with the buyer at that point.</w:t>
            </w:r>
          </w:p>
          <w:p w14:paraId="170D5A02" w14:textId="77777777" w:rsidR="003B5B2F" w:rsidRDefault="003B5B2F" w:rsidP="00C05939">
            <w:pPr>
              <w:autoSpaceDE w:val="0"/>
              <w:autoSpaceDN w:val="0"/>
              <w:adjustRightInd w:val="0"/>
              <w:spacing w:after="0" w:line="240" w:lineRule="auto"/>
              <w:rPr>
                <w:rFonts w:ascii="Arial" w:hAnsi="Arial" w:cs="Arial"/>
                <w:sz w:val="24"/>
                <w:szCs w:val="24"/>
              </w:rPr>
            </w:pPr>
          </w:p>
          <w:p w14:paraId="7642CD53" w14:textId="77777777" w:rsidR="003B5B2F" w:rsidRDefault="003B5B2F" w:rsidP="00C05939"/>
        </w:tc>
      </w:tr>
      <w:tr w:rsidR="003B5B2F" w14:paraId="19A0FC31" w14:textId="77777777" w:rsidTr="0085129F">
        <w:trPr>
          <w:trHeight w:val="4000"/>
        </w:trPr>
        <w:tc>
          <w:tcPr>
            <w:tcW w:w="1368" w:type="dxa"/>
          </w:tcPr>
          <w:p w14:paraId="5620981F" w14:textId="77777777" w:rsidR="003B5B2F" w:rsidRDefault="003B5B2F" w:rsidP="00C05939">
            <w:r>
              <w:t>Slide 6</w:t>
            </w:r>
          </w:p>
        </w:tc>
        <w:tc>
          <w:tcPr>
            <w:tcW w:w="3996" w:type="dxa"/>
          </w:tcPr>
          <w:p w14:paraId="3B78C018" w14:textId="10E952CB" w:rsidR="003B5B2F" w:rsidRDefault="0085129F" w:rsidP="00C05939">
            <w:r w:rsidRPr="0085129F">
              <w:rPr>
                <w:noProof/>
              </w:rPr>
              <w:drawing>
                <wp:inline distT="0" distB="0" distL="0" distR="0" wp14:anchorId="6219E8FF" wp14:editId="374EDAA0">
                  <wp:extent cx="2400017" cy="1350010"/>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00017" cy="1350010"/>
                          </a:xfrm>
                          <a:prstGeom prst="rect">
                            <a:avLst/>
                          </a:prstGeom>
                        </pic:spPr>
                      </pic:pic>
                    </a:graphicData>
                  </a:graphic>
                </wp:inline>
              </w:drawing>
            </w:r>
          </w:p>
        </w:tc>
        <w:tc>
          <w:tcPr>
            <w:tcW w:w="3996" w:type="dxa"/>
          </w:tcPr>
          <w:p w14:paraId="3B323534" w14:textId="13BEC6BC" w:rsidR="003B5B2F" w:rsidRPr="0085129F" w:rsidRDefault="0085129F" w:rsidP="00C05939">
            <w:pPr>
              <w:autoSpaceDE w:val="0"/>
              <w:autoSpaceDN w:val="0"/>
              <w:adjustRightInd w:val="0"/>
              <w:spacing w:after="0" w:line="240" w:lineRule="auto"/>
              <w:rPr>
                <w:rFonts w:ascii="Calibri" w:hAnsi="Calibri" w:cs="Calibri"/>
                <w:kern w:val="24"/>
                <w:sz w:val="24"/>
                <w:szCs w:val="24"/>
              </w:rPr>
            </w:pPr>
            <w:r w:rsidRPr="0085129F">
              <w:rPr>
                <w:rFonts w:ascii="Calibri" w:hAnsi="Calibri" w:cs="Calibri"/>
                <w:kern w:val="24"/>
                <w:sz w:val="24"/>
                <w:szCs w:val="24"/>
              </w:rPr>
              <w:t>The Buyer Brokerage Agreement must conspicuously specify the amount or rate of compensation. The amount must be objectively ascertainable and not open-ended.  (Ex: 2.5% would be considered objectively ascertainable while “whatever the seller is offering” would not be.)</w:t>
            </w:r>
            <w:r w:rsidRPr="0085129F">
              <w:rPr>
                <w:rFonts w:ascii="Calibri" w:hAnsi="Calibri" w:cs="Calibri"/>
                <w:kern w:val="24"/>
                <w:sz w:val="24"/>
                <w:szCs w:val="24"/>
              </w:rPr>
              <w:br/>
            </w:r>
            <w:r w:rsidRPr="0085129F">
              <w:rPr>
                <w:rFonts w:ascii="Calibri" w:hAnsi="Calibri" w:cs="Calibri"/>
                <w:kern w:val="24"/>
                <w:sz w:val="24"/>
                <w:szCs w:val="24"/>
              </w:rPr>
              <w:br/>
              <w:t>No amount beyond what is agreed to in the BBA may be received from any source.  So, if the BBA entitles buyer’s agent to 2.5%, but the seller is offering 3%, buyer’s agent may only accept 2.5%.</w:t>
            </w:r>
          </w:p>
          <w:p w14:paraId="102FECED" w14:textId="77777777" w:rsidR="003B5B2F" w:rsidRDefault="003B5B2F" w:rsidP="00C05939"/>
        </w:tc>
      </w:tr>
      <w:tr w:rsidR="003B5B2F" w14:paraId="4D3F0DFE" w14:textId="77777777" w:rsidTr="0085129F">
        <w:trPr>
          <w:trHeight w:val="4000"/>
        </w:trPr>
        <w:tc>
          <w:tcPr>
            <w:tcW w:w="1368" w:type="dxa"/>
          </w:tcPr>
          <w:p w14:paraId="4FF7B133" w14:textId="77777777" w:rsidR="003B5B2F" w:rsidRDefault="003B5B2F" w:rsidP="00C05939">
            <w:r>
              <w:lastRenderedPageBreak/>
              <w:t>Slide 7</w:t>
            </w:r>
          </w:p>
        </w:tc>
        <w:tc>
          <w:tcPr>
            <w:tcW w:w="3996" w:type="dxa"/>
          </w:tcPr>
          <w:p w14:paraId="6C55E3B7" w14:textId="63296D16" w:rsidR="003B5B2F" w:rsidRDefault="0085129F" w:rsidP="00C05939">
            <w:r w:rsidRPr="0085129F">
              <w:rPr>
                <w:noProof/>
              </w:rPr>
              <w:drawing>
                <wp:inline distT="0" distB="0" distL="0" distR="0" wp14:anchorId="474ACFD7" wp14:editId="171C64AC">
                  <wp:extent cx="2400017" cy="1350010"/>
                  <wp:effectExtent l="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00017" cy="1350010"/>
                          </a:xfrm>
                          <a:prstGeom prst="rect">
                            <a:avLst/>
                          </a:prstGeom>
                        </pic:spPr>
                      </pic:pic>
                    </a:graphicData>
                  </a:graphic>
                </wp:inline>
              </w:drawing>
            </w:r>
          </w:p>
        </w:tc>
        <w:tc>
          <w:tcPr>
            <w:tcW w:w="3996" w:type="dxa"/>
          </w:tcPr>
          <w:p w14:paraId="5A69FD41" w14:textId="0A250C5A" w:rsidR="003B5B2F" w:rsidRPr="0085129F" w:rsidRDefault="0085129F" w:rsidP="00C05939">
            <w:pPr>
              <w:autoSpaceDE w:val="0"/>
              <w:autoSpaceDN w:val="0"/>
              <w:adjustRightInd w:val="0"/>
              <w:spacing w:after="0" w:line="240" w:lineRule="auto"/>
              <w:rPr>
                <w:rFonts w:ascii="Calibri" w:hAnsi="Calibri" w:cs="Calibri"/>
                <w:kern w:val="24"/>
                <w:sz w:val="24"/>
                <w:szCs w:val="24"/>
              </w:rPr>
            </w:pPr>
            <w:r w:rsidRPr="0085129F">
              <w:rPr>
                <w:rFonts w:ascii="Calibri" w:hAnsi="Calibri" w:cs="Calibri"/>
                <w:kern w:val="24"/>
                <w:sz w:val="24"/>
                <w:szCs w:val="24"/>
              </w:rPr>
              <w:t xml:space="preserve">For agents representing buyers using a VA loan: If the home is advertised in a REALTOR MLS or </w:t>
            </w:r>
            <w:proofErr w:type="gramStart"/>
            <w:r w:rsidRPr="0085129F">
              <w:rPr>
                <w:rFonts w:ascii="Calibri" w:hAnsi="Calibri" w:cs="Calibri"/>
                <w:kern w:val="24"/>
                <w:sz w:val="24"/>
                <w:szCs w:val="24"/>
              </w:rPr>
              <w:t>a</w:t>
            </w:r>
            <w:proofErr w:type="gramEnd"/>
            <w:r w:rsidRPr="0085129F">
              <w:rPr>
                <w:rFonts w:ascii="Calibri" w:hAnsi="Calibri" w:cs="Calibri"/>
                <w:kern w:val="24"/>
                <w:sz w:val="24"/>
                <w:szCs w:val="24"/>
              </w:rPr>
              <w:t xml:space="preserve"> MLS area that does not allow cooperative compensation to be advertised, then a VA borrower may pay a buyer broker fee.  The buyer-broker fee cannot be included in the loan amount. The buyer broker fee may be paid with cash or from the seller. If the seller pays any part of the buyer broker fee, the VA does not consider this a seller concession. </w:t>
            </w:r>
          </w:p>
          <w:p w14:paraId="2F2583D3" w14:textId="77777777" w:rsidR="003B5B2F" w:rsidRDefault="003B5B2F" w:rsidP="00C05939"/>
        </w:tc>
      </w:tr>
      <w:tr w:rsidR="003B5B2F" w14:paraId="4A68E876" w14:textId="77777777" w:rsidTr="0085129F">
        <w:trPr>
          <w:trHeight w:val="4000"/>
        </w:trPr>
        <w:tc>
          <w:tcPr>
            <w:tcW w:w="1368" w:type="dxa"/>
          </w:tcPr>
          <w:p w14:paraId="0708A909" w14:textId="77777777" w:rsidR="003B5B2F" w:rsidRDefault="003B5B2F" w:rsidP="00C05939">
            <w:r>
              <w:t>Slide 8</w:t>
            </w:r>
          </w:p>
        </w:tc>
        <w:tc>
          <w:tcPr>
            <w:tcW w:w="3996" w:type="dxa"/>
          </w:tcPr>
          <w:p w14:paraId="724976FD" w14:textId="616FAB98" w:rsidR="003B5B2F" w:rsidRDefault="0085129F" w:rsidP="00C05939">
            <w:r w:rsidRPr="0085129F">
              <w:rPr>
                <w:noProof/>
              </w:rPr>
              <w:drawing>
                <wp:inline distT="0" distB="0" distL="0" distR="0" wp14:anchorId="1416C229" wp14:editId="15988469">
                  <wp:extent cx="2400017" cy="1350010"/>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00017" cy="1350010"/>
                          </a:xfrm>
                          <a:prstGeom prst="rect">
                            <a:avLst/>
                          </a:prstGeom>
                        </pic:spPr>
                      </pic:pic>
                    </a:graphicData>
                  </a:graphic>
                </wp:inline>
              </w:drawing>
            </w:r>
          </w:p>
        </w:tc>
        <w:tc>
          <w:tcPr>
            <w:tcW w:w="3996" w:type="dxa"/>
          </w:tcPr>
          <w:p w14:paraId="0A3AD330" w14:textId="0011F9A3" w:rsidR="003B5B2F" w:rsidRPr="0085129F" w:rsidRDefault="0085129F" w:rsidP="00C05939">
            <w:pPr>
              <w:autoSpaceDE w:val="0"/>
              <w:autoSpaceDN w:val="0"/>
              <w:adjustRightInd w:val="0"/>
              <w:spacing w:after="0" w:line="240" w:lineRule="auto"/>
              <w:rPr>
                <w:rFonts w:ascii="Calibri" w:hAnsi="Calibri" w:cs="Calibri"/>
                <w:kern w:val="24"/>
                <w:sz w:val="24"/>
                <w:szCs w:val="24"/>
              </w:rPr>
            </w:pPr>
            <w:r w:rsidRPr="0085129F">
              <w:rPr>
                <w:rFonts w:ascii="Calibri" w:hAnsi="Calibri" w:cs="Calibri"/>
                <w:kern w:val="24"/>
                <w:sz w:val="24"/>
                <w:szCs w:val="24"/>
              </w:rPr>
              <w:t>The NAR Settlement applies to residential sales only.  It does not apply to commercial property, rentals, or land sales, except to the extent that those areas are impacted by the prohibition on offers of cooperative compensation in the MLS.  Nevertheless, it is best practice to follow the requirements for residential sales in all other areas of your real estate practice (thus avoiding any potential future litigation, antitrust issues, etc.).</w:t>
            </w:r>
          </w:p>
          <w:p w14:paraId="0DC49A87" w14:textId="77777777" w:rsidR="003B5B2F" w:rsidRDefault="003B5B2F" w:rsidP="00C05939"/>
        </w:tc>
      </w:tr>
      <w:tr w:rsidR="003B5B2F" w14:paraId="1ABA6964" w14:textId="77777777" w:rsidTr="0085129F">
        <w:trPr>
          <w:trHeight w:val="4000"/>
        </w:trPr>
        <w:tc>
          <w:tcPr>
            <w:tcW w:w="1368" w:type="dxa"/>
          </w:tcPr>
          <w:p w14:paraId="35AAD248" w14:textId="77777777" w:rsidR="003B5B2F" w:rsidRDefault="003B5B2F" w:rsidP="00C05939">
            <w:r>
              <w:t>Slide 9</w:t>
            </w:r>
          </w:p>
        </w:tc>
        <w:tc>
          <w:tcPr>
            <w:tcW w:w="3996" w:type="dxa"/>
          </w:tcPr>
          <w:p w14:paraId="7551DEB5" w14:textId="41185A5E" w:rsidR="003B5B2F" w:rsidRDefault="0085129F" w:rsidP="00C05939">
            <w:r w:rsidRPr="0085129F">
              <w:rPr>
                <w:noProof/>
              </w:rPr>
              <w:drawing>
                <wp:inline distT="0" distB="0" distL="0" distR="0" wp14:anchorId="5E4F95D9" wp14:editId="2B812C98">
                  <wp:extent cx="2400017" cy="1350010"/>
                  <wp:effectExtent l="0" t="0" r="63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00017" cy="1350010"/>
                          </a:xfrm>
                          <a:prstGeom prst="rect">
                            <a:avLst/>
                          </a:prstGeom>
                        </pic:spPr>
                      </pic:pic>
                    </a:graphicData>
                  </a:graphic>
                </wp:inline>
              </w:drawing>
            </w:r>
          </w:p>
        </w:tc>
        <w:tc>
          <w:tcPr>
            <w:tcW w:w="3996" w:type="dxa"/>
          </w:tcPr>
          <w:p w14:paraId="60D9BBB0" w14:textId="1EEF9C71" w:rsidR="003B5B2F" w:rsidRDefault="003B5B2F" w:rsidP="00C05939">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Questions?</w:t>
            </w:r>
          </w:p>
          <w:p w14:paraId="1F18EFF6" w14:textId="77777777" w:rsidR="003B5B2F" w:rsidRDefault="003B5B2F" w:rsidP="00C05939"/>
        </w:tc>
      </w:tr>
    </w:tbl>
    <w:p w14:paraId="52118D98" w14:textId="77777777" w:rsidR="00321B2A" w:rsidRDefault="00321B2A"/>
    <w:sectPr w:rsidR="00321B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B2F"/>
    <w:rsid w:val="00042570"/>
    <w:rsid w:val="00321B2A"/>
    <w:rsid w:val="003B5B2F"/>
    <w:rsid w:val="00621D12"/>
    <w:rsid w:val="00673A6E"/>
    <w:rsid w:val="0085129F"/>
    <w:rsid w:val="008D34FE"/>
    <w:rsid w:val="00A35127"/>
    <w:rsid w:val="00C07117"/>
    <w:rsid w:val="00D478F2"/>
    <w:rsid w:val="00E66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374E5"/>
  <w15:chartTrackingRefBased/>
  <w15:docId w15:val="{8FB62B63-F05A-244B-877E-B9DF66205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B2F"/>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59331">
      <w:bodyDiv w:val="1"/>
      <w:marLeft w:val="0"/>
      <w:marRight w:val="0"/>
      <w:marTop w:val="0"/>
      <w:marBottom w:val="0"/>
      <w:divBdr>
        <w:top w:val="none" w:sz="0" w:space="0" w:color="auto"/>
        <w:left w:val="none" w:sz="0" w:space="0" w:color="auto"/>
        <w:bottom w:val="none" w:sz="0" w:space="0" w:color="auto"/>
        <w:right w:val="none" w:sz="0" w:space="0" w:color="auto"/>
      </w:divBdr>
    </w:div>
    <w:div w:id="193468870">
      <w:bodyDiv w:val="1"/>
      <w:marLeft w:val="0"/>
      <w:marRight w:val="0"/>
      <w:marTop w:val="0"/>
      <w:marBottom w:val="0"/>
      <w:divBdr>
        <w:top w:val="none" w:sz="0" w:space="0" w:color="auto"/>
        <w:left w:val="none" w:sz="0" w:space="0" w:color="auto"/>
        <w:bottom w:val="none" w:sz="0" w:space="0" w:color="auto"/>
        <w:right w:val="none" w:sz="0" w:space="0" w:color="auto"/>
      </w:divBdr>
    </w:div>
    <w:div w:id="259533574">
      <w:bodyDiv w:val="1"/>
      <w:marLeft w:val="0"/>
      <w:marRight w:val="0"/>
      <w:marTop w:val="0"/>
      <w:marBottom w:val="0"/>
      <w:divBdr>
        <w:top w:val="none" w:sz="0" w:space="0" w:color="auto"/>
        <w:left w:val="none" w:sz="0" w:space="0" w:color="auto"/>
        <w:bottom w:val="none" w:sz="0" w:space="0" w:color="auto"/>
        <w:right w:val="none" w:sz="0" w:space="0" w:color="auto"/>
      </w:divBdr>
    </w:div>
    <w:div w:id="350954934">
      <w:bodyDiv w:val="1"/>
      <w:marLeft w:val="0"/>
      <w:marRight w:val="0"/>
      <w:marTop w:val="0"/>
      <w:marBottom w:val="0"/>
      <w:divBdr>
        <w:top w:val="none" w:sz="0" w:space="0" w:color="auto"/>
        <w:left w:val="none" w:sz="0" w:space="0" w:color="auto"/>
        <w:bottom w:val="none" w:sz="0" w:space="0" w:color="auto"/>
        <w:right w:val="none" w:sz="0" w:space="0" w:color="auto"/>
      </w:divBdr>
    </w:div>
    <w:div w:id="545413581">
      <w:bodyDiv w:val="1"/>
      <w:marLeft w:val="0"/>
      <w:marRight w:val="0"/>
      <w:marTop w:val="0"/>
      <w:marBottom w:val="0"/>
      <w:divBdr>
        <w:top w:val="none" w:sz="0" w:space="0" w:color="auto"/>
        <w:left w:val="none" w:sz="0" w:space="0" w:color="auto"/>
        <w:bottom w:val="none" w:sz="0" w:space="0" w:color="auto"/>
        <w:right w:val="none" w:sz="0" w:space="0" w:color="auto"/>
      </w:divBdr>
    </w:div>
    <w:div w:id="565578260">
      <w:bodyDiv w:val="1"/>
      <w:marLeft w:val="0"/>
      <w:marRight w:val="0"/>
      <w:marTop w:val="0"/>
      <w:marBottom w:val="0"/>
      <w:divBdr>
        <w:top w:val="none" w:sz="0" w:space="0" w:color="auto"/>
        <w:left w:val="none" w:sz="0" w:space="0" w:color="auto"/>
        <w:bottom w:val="none" w:sz="0" w:space="0" w:color="auto"/>
        <w:right w:val="none" w:sz="0" w:space="0" w:color="auto"/>
      </w:divBdr>
    </w:div>
    <w:div w:id="850267231">
      <w:bodyDiv w:val="1"/>
      <w:marLeft w:val="0"/>
      <w:marRight w:val="0"/>
      <w:marTop w:val="0"/>
      <w:marBottom w:val="0"/>
      <w:divBdr>
        <w:top w:val="none" w:sz="0" w:space="0" w:color="auto"/>
        <w:left w:val="none" w:sz="0" w:space="0" w:color="auto"/>
        <w:bottom w:val="none" w:sz="0" w:space="0" w:color="auto"/>
        <w:right w:val="none" w:sz="0" w:space="0" w:color="auto"/>
      </w:divBdr>
    </w:div>
    <w:div w:id="872964571">
      <w:bodyDiv w:val="1"/>
      <w:marLeft w:val="0"/>
      <w:marRight w:val="0"/>
      <w:marTop w:val="0"/>
      <w:marBottom w:val="0"/>
      <w:divBdr>
        <w:top w:val="none" w:sz="0" w:space="0" w:color="auto"/>
        <w:left w:val="none" w:sz="0" w:space="0" w:color="auto"/>
        <w:bottom w:val="none" w:sz="0" w:space="0" w:color="auto"/>
        <w:right w:val="none" w:sz="0" w:space="0" w:color="auto"/>
      </w:divBdr>
    </w:div>
    <w:div w:id="978151548">
      <w:bodyDiv w:val="1"/>
      <w:marLeft w:val="0"/>
      <w:marRight w:val="0"/>
      <w:marTop w:val="0"/>
      <w:marBottom w:val="0"/>
      <w:divBdr>
        <w:top w:val="none" w:sz="0" w:space="0" w:color="auto"/>
        <w:left w:val="none" w:sz="0" w:space="0" w:color="auto"/>
        <w:bottom w:val="none" w:sz="0" w:space="0" w:color="auto"/>
        <w:right w:val="none" w:sz="0" w:space="0" w:color="auto"/>
      </w:divBdr>
    </w:div>
    <w:div w:id="990257635">
      <w:bodyDiv w:val="1"/>
      <w:marLeft w:val="0"/>
      <w:marRight w:val="0"/>
      <w:marTop w:val="0"/>
      <w:marBottom w:val="0"/>
      <w:divBdr>
        <w:top w:val="none" w:sz="0" w:space="0" w:color="auto"/>
        <w:left w:val="none" w:sz="0" w:space="0" w:color="auto"/>
        <w:bottom w:val="none" w:sz="0" w:space="0" w:color="auto"/>
        <w:right w:val="none" w:sz="0" w:space="0" w:color="auto"/>
      </w:divBdr>
    </w:div>
    <w:div w:id="1006328007">
      <w:bodyDiv w:val="1"/>
      <w:marLeft w:val="0"/>
      <w:marRight w:val="0"/>
      <w:marTop w:val="0"/>
      <w:marBottom w:val="0"/>
      <w:divBdr>
        <w:top w:val="none" w:sz="0" w:space="0" w:color="auto"/>
        <w:left w:val="none" w:sz="0" w:space="0" w:color="auto"/>
        <w:bottom w:val="none" w:sz="0" w:space="0" w:color="auto"/>
        <w:right w:val="none" w:sz="0" w:space="0" w:color="auto"/>
      </w:divBdr>
    </w:div>
    <w:div w:id="1310548572">
      <w:bodyDiv w:val="1"/>
      <w:marLeft w:val="0"/>
      <w:marRight w:val="0"/>
      <w:marTop w:val="0"/>
      <w:marBottom w:val="0"/>
      <w:divBdr>
        <w:top w:val="none" w:sz="0" w:space="0" w:color="auto"/>
        <w:left w:val="none" w:sz="0" w:space="0" w:color="auto"/>
        <w:bottom w:val="none" w:sz="0" w:space="0" w:color="auto"/>
        <w:right w:val="none" w:sz="0" w:space="0" w:color="auto"/>
      </w:divBdr>
    </w:div>
    <w:div w:id="1689477477">
      <w:bodyDiv w:val="1"/>
      <w:marLeft w:val="0"/>
      <w:marRight w:val="0"/>
      <w:marTop w:val="0"/>
      <w:marBottom w:val="0"/>
      <w:divBdr>
        <w:top w:val="none" w:sz="0" w:space="0" w:color="auto"/>
        <w:left w:val="none" w:sz="0" w:space="0" w:color="auto"/>
        <w:bottom w:val="none" w:sz="0" w:space="0" w:color="auto"/>
        <w:right w:val="none" w:sz="0" w:space="0" w:color="auto"/>
      </w:divBdr>
    </w:div>
    <w:div w:id="1843080779">
      <w:bodyDiv w:val="1"/>
      <w:marLeft w:val="0"/>
      <w:marRight w:val="0"/>
      <w:marTop w:val="0"/>
      <w:marBottom w:val="0"/>
      <w:divBdr>
        <w:top w:val="none" w:sz="0" w:space="0" w:color="auto"/>
        <w:left w:val="none" w:sz="0" w:space="0" w:color="auto"/>
        <w:bottom w:val="none" w:sz="0" w:space="0" w:color="auto"/>
        <w:right w:val="none" w:sz="0" w:space="0" w:color="auto"/>
      </w:divBdr>
    </w:div>
    <w:div w:id="200940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E7025548F6494E8C1ABF7D2740F2F5" ma:contentTypeVersion="17" ma:contentTypeDescription="Create a new document." ma:contentTypeScope="" ma:versionID="4c1403f75766b9142f526e9e038634c6">
  <xsd:schema xmlns:xsd="http://www.w3.org/2001/XMLSchema" xmlns:xs="http://www.w3.org/2001/XMLSchema" xmlns:p="http://schemas.microsoft.com/office/2006/metadata/properties" xmlns:ns2="ba630d7b-8c89-47ad-91ac-97942cba60d1" xmlns:ns3="0207266a-8549-4d12-87c7-6d3d79637e47" targetNamespace="http://schemas.microsoft.com/office/2006/metadata/properties" ma:root="true" ma:fieldsID="69041064619fec56d016895da18e73d5" ns2:_="" ns3:_="">
    <xsd:import namespace="ba630d7b-8c89-47ad-91ac-97942cba60d1"/>
    <xsd:import namespace="0207266a-8549-4d12-87c7-6d3d79637e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30d7b-8c89-47ad-91ac-97942cba6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dee32d4-85ac-40c2-9e8e-56c60904338d"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07266a-8549-4d12-87c7-6d3d79637e4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55bc54e-6852-432d-a8bf-2ccd59860851}" ma:internalName="TaxCatchAll" ma:showField="CatchAllData" ma:web="0207266a-8549-4d12-87c7-6d3d79637e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DEDA75-E315-4A13-B139-D5863E213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30d7b-8c89-47ad-91ac-97942cba60d1"/>
    <ds:schemaRef ds:uri="0207266a-8549-4d12-87c7-6d3d79637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D6AE01-A70B-4386-B7D8-4870D55F9A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Ryan</dc:creator>
  <cp:keywords/>
  <dc:description/>
  <cp:lastModifiedBy>Adam J Smith (Creative Director)</cp:lastModifiedBy>
  <cp:revision>3</cp:revision>
  <dcterms:created xsi:type="dcterms:W3CDTF">2024-07-25T20:25:00Z</dcterms:created>
  <dcterms:modified xsi:type="dcterms:W3CDTF">2024-08-01T19:24:00Z</dcterms:modified>
</cp:coreProperties>
</file>