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996"/>
        <w:gridCol w:w="3996"/>
      </w:tblGrid>
      <w:tr w:rsidR="00556985" w14:paraId="73524BD2" w14:textId="77777777" w:rsidTr="00D86BFE">
        <w:tblPrEx>
          <w:tblCellMar>
            <w:top w:w="0" w:type="dxa"/>
            <w:bottom w:w="0" w:type="dxa"/>
          </w:tblCellMar>
        </w:tblPrEx>
        <w:trPr>
          <w:trHeight w:val="4000"/>
        </w:trPr>
        <w:tc>
          <w:tcPr>
            <w:tcW w:w="1368" w:type="dxa"/>
            <w:vAlign w:val="center"/>
          </w:tcPr>
          <w:p w14:paraId="3197BC46" w14:textId="77777777" w:rsidR="00556985" w:rsidRDefault="00556985">
            <w:r>
              <w:t>Slide 1</w:t>
            </w:r>
          </w:p>
        </w:tc>
        <w:tc>
          <w:tcPr>
            <w:tcW w:w="3996" w:type="dxa"/>
            <w:vAlign w:val="center"/>
          </w:tcPr>
          <w:p w14:paraId="251E98B5" w14:textId="2DDD5FD7" w:rsidR="00556985" w:rsidRDefault="006724C2" w:rsidP="00D86BFE">
            <w:pPr>
              <w:jc w:val="center"/>
            </w:pPr>
            <w:r>
              <w:rPr>
                <w:noProof/>
              </w:rPr>
              <w:drawing>
                <wp:inline distT="0" distB="0" distL="0" distR="0" wp14:anchorId="6F1E4277" wp14:editId="717B9A5A">
                  <wp:extent cx="2400300" cy="1350010"/>
                  <wp:effectExtent l="0" t="0" r="0" b="2540"/>
                  <wp:docPr id="37754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00" cy="1350010"/>
                          </a:xfrm>
                          <a:prstGeom prst="rect">
                            <a:avLst/>
                          </a:prstGeom>
                          <a:noFill/>
                          <a:ln>
                            <a:noFill/>
                          </a:ln>
                        </pic:spPr>
                      </pic:pic>
                    </a:graphicData>
                  </a:graphic>
                </wp:inline>
              </w:drawing>
            </w:r>
          </w:p>
        </w:tc>
        <w:tc>
          <w:tcPr>
            <w:tcW w:w="3996" w:type="dxa"/>
            <w:vAlign w:val="center"/>
          </w:tcPr>
          <w:p w14:paraId="6F719447" w14:textId="1D5A089C" w:rsidR="00556985" w:rsidRPr="00E655E5" w:rsidRDefault="00556985" w:rsidP="00E655E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Unless otherwise noted, all bills are effective on July 1, 2023.</w:t>
            </w:r>
          </w:p>
        </w:tc>
      </w:tr>
      <w:tr w:rsidR="00556985" w14:paraId="27664059" w14:textId="77777777" w:rsidTr="00D86BFE">
        <w:tblPrEx>
          <w:tblCellMar>
            <w:top w:w="0" w:type="dxa"/>
            <w:bottom w:w="0" w:type="dxa"/>
          </w:tblCellMar>
        </w:tblPrEx>
        <w:trPr>
          <w:trHeight w:val="4000"/>
        </w:trPr>
        <w:tc>
          <w:tcPr>
            <w:tcW w:w="1368" w:type="dxa"/>
            <w:vAlign w:val="center"/>
          </w:tcPr>
          <w:p w14:paraId="3733A403" w14:textId="77777777" w:rsidR="00556985" w:rsidRDefault="00556985">
            <w:r>
              <w:t>Slide 2</w:t>
            </w:r>
          </w:p>
        </w:tc>
        <w:tc>
          <w:tcPr>
            <w:tcW w:w="3996" w:type="dxa"/>
            <w:vAlign w:val="center"/>
          </w:tcPr>
          <w:p w14:paraId="5327D025" w14:textId="5C94C378" w:rsidR="00556985" w:rsidRDefault="006724C2" w:rsidP="00D86BFE">
            <w:pPr>
              <w:jc w:val="center"/>
            </w:pPr>
            <w:r>
              <w:rPr>
                <w:noProof/>
              </w:rPr>
              <w:drawing>
                <wp:inline distT="0" distB="0" distL="0" distR="0" wp14:anchorId="389CB23C" wp14:editId="504AB1D3">
                  <wp:extent cx="2400300" cy="1350010"/>
                  <wp:effectExtent l="0" t="0" r="0" b="2540"/>
                  <wp:docPr id="9396430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1350010"/>
                          </a:xfrm>
                          <a:prstGeom prst="rect">
                            <a:avLst/>
                          </a:prstGeom>
                          <a:noFill/>
                          <a:ln>
                            <a:noFill/>
                          </a:ln>
                        </pic:spPr>
                      </pic:pic>
                    </a:graphicData>
                  </a:graphic>
                </wp:inline>
              </w:drawing>
            </w:r>
          </w:p>
        </w:tc>
        <w:tc>
          <w:tcPr>
            <w:tcW w:w="3996" w:type="dxa"/>
            <w:vAlign w:val="center"/>
          </w:tcPr>
          <w:p w14:paraId="3968F91A" w14:textId="77777777" w:rsidR="00556985" w:rsidRDefault="00556985" w:rsidP="00556985">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 xml:space="preserve">Instructor: </w:t>
            </w:r>
            <w:r>
              <w:rPr>
                <w:rFonts w:ascii="Calibri" w:hAnsi="Calibri" w:cs="Calibri"/>
                <w:kern w:val="24"/>
                <w:sz w:val="24"/>
                <w:szCs w:val="24"/>
              </w:rPr>
              <w:t>Here are some additional new laws resources that VAR has made available to you. You can access all of these by going to virginiarealtors.org.</w:t>
            </w:r>
          </w:p>
          <w:p w14:paraId="0B29363C" w14:textId="77777777" w:rsidR="00556985" w:rsidRDefault="00556985" w:rsidP="00556985">
            <w:pPr>
              <w:autoSpaceDE w:val="0"/>
              <w:autoSpaceDN w:val="0"/>
              <w:adjustRightInd w:val="0"/>
              <w:spacing w:after="0" w:line="240" w:lineRule="auto"/>
              <w:rPr>
                <w:rFonts w:ascii="Arial" w:hAnsi="Arial" w:cs="Arial"/>
                <w:kern w:val="0"/>
                <w:sz w:val="24"/>
                <w:szCs w:val="24"/>
              </w:rPr>
            </w:pPr>
          </w:p>
          <w:p w14:paraId="471262D4" w14:textId="77777777" w:rsidR="00556985" w:rsidRDefault="00556985"/>
        </w:tc>
      </w:tr>
      <w:tr w:rsidR="00556985" w14:paraId="38550D60" w14:textId="77777777" w:rsidTr="00D86BFE">
        <w:tblPrEx>
          <w:tblCellMar>
            <w:top w:w="0" w:type="dxa"/>
            <w:bottom w:w="0" w:type="dxa"/>
          </w:tblCellMar>
        </w:tblPrEx>
        <w:trPr>
          <w:trHeight w:val="4000"/>
        </w:trPr>
        <w:tc>
          <w:tcPr>
            <w:tcW w:w="1368" w:type="dxa"/>
            <w:vAlign w:val="center"/>
          </w:tcPr>
          <w:p w14:paraId="18BF6E4D" w14:textId="77777777" w:rsidR="00556985" w:rsidRDefault="00556985">
            <w:r>
              <w:t>Slide 3</w:t>
            </w:r>
          </w:p>
        </w:tc>
        <w:tc>
          <w:tcPr>
            <w:tcW w:w="3996" w:type="dxa"/>
            <w:vAlign w:val="center"/>
          </w:tcPr>
          <w:p w14:paraId="02F73CE5" w14:textId="0ECE7DE8" w:rsidR="00556985" w:rsidRDefault="00CA1C8C" w:rsidP="00D86BFE">
            <w:pPr>
              <w:jc w:val="center"/>
            </w:pPr>
            <w:r>
              <w:rPr>
                <w:noProof/>
              </w:rPr>
              <w:drawing>
                <wp:inline distT="0" distB="0" distL="0" distR="0" wp14:anchorId="5590FA96" wp14:editId="5AB5E2E6">
                  <wp:extent cx="2400300" cy="1350010"/>
                  <wp:effectExtent l="0" t="0" r="0" b="2540"/>
                  <wp:docPr id="12727344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1350010"/>
                          </a:xfrm>
                          <a:prstGeom prst="rect">
                            <a:avLst/>
                          </a:prstGeom>
                          <a:noFill/>
                          <a:ln>
                            <a:noFill/>
                          </a:ln>
                        </pic:spPr>
                      </pic:pic>
                    </a:graphicData>
                  </a:graphic>
                </wp:inline>
              </w:drawing>
            </w:r>
          </w:p>
        </w:tc>
        <w:tc>
          <w:tcPr>
            <w:tcW w:w="3996" w:type="dxa"/>
            <w:vAlign w:val="center"/>
          </w:tcPr>
          <w:p w14:paraId="61E7C427"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Like many years, we have several bills related to property management, landlord tenant law, and the Virginia Residential Landlord Tenant Act (VRLTA).</w:t>
            </w:r>
          </w:p>
          <w:p w14:paraId="135CF765" w14:textId="77777777" w:rsidR="00556985" w:rsidRDefault="00556985" w:rsidP="00556985">
            <w:pPr>
              <w:autoSpaceDE w:val="0"/>
              <w:autoSpaceDN w:val="0"/>
              <w:adjustRightInd w:val="0"/>
              <w:spacing w:after="0" w:line="240" w:lineRule="auto"/>
              <w:rPr>
                <w:rFonts w:ascii="Arial" w:hAnsi="Arial" w:cs="Arial"/>
                <w:kern w:val="0"/>
                <w:sz w:val="24"/>
                <w:szCs w:val="24"/>
              </w:rPr>
            </w:pPr>
          </w:p>
          <w:p w14:paraId="708BA565" w14:textId="77777777" w:rsidR="00556985" w:rsidRDefault="00556985"/>
        </w:tc>
      </w:tr>
      <w:tr w:rsidR="00556985" w14:paraId="4A37BC3F" w14:textId="77777777" w:rsidTr="00D86BFE">
        <w:tblPrEx>
          <w:tblCellMar>
            <w:top w:w="0" w:type="dxa"/>
            <w:bottom w:w="0" w:type="dxa"/>
          </w:tblCellMar>
        </w:tblPrEx>
        <w:trPr>
          <w:trHeight w:val="4000"/>
        </w:trPr>
        <w:tc>
          <w:tcPr>
            <w:tcW w:w="1368" w:type="dxa"/>
            <w:vAlign w:val="center"/>
          </w:tcPr>
          <w:p w14:paraId="31EEF51E" w14:textId="77777777" w:rsidR="00556985" w:rsidRDefault="00556985">
            <w:r>
              <w:lastRenderedPageBreak/>
              <w:t>Slide 4</w:t>
            </w:r>
          </w:p>
        </w:tc>
        <w:tc>
          <w:tcPr>
            <w:tcW w:w="3996" w:type="dxa"/>
            <w:vAlign w:val="center"/>
          </w:tcPr>
          <w:p w14:paraId="373E4030" w14:textId="377C771F" w:rsidR="00556985" w:rsidRDefault="00CA1C8C" w:rsidP="00D86BFE">
            <w:pPr>
              <w:jc w:val="center"/>
            </w:pPr>
            <w:r>
              <w:rPr>
                <w:noProof/>
              </w:rPr>
              <w:drawing>
                <wp:inline distT="0" distB="0" distL="0" distR="0" wp14:anchorId="27A41B67" wp14:editId="3F18DA53">
                  <wp:extent cx="2400300" cy="1350010"/>
                  <wp:effectExtent l="0" t="0" r="0" b="2540"/>
                  <wp:docPr id="13605509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1350010"/>
                          </a:xfrm>
                          <a:prstGeom prst="rect">
                            <a:avLst/>
                          </a:prstGeom>
                          <a:noFill/>
                          <a:ln>
                            <a:noFill/>
                          </a:ln>
                        </pic:spPr>
                      </pic:pic>
                    </a:graphicData>
                  </a:graphic>
                </wp:inline>
              </w:drawing>
            </w:r>
          </w:p>
        </w:tc>
        <w:tc>
          <w:tcPr>
            <w:tcW w:w="3996" w:type="dxa"/>
            <w:vAlign w:val="center"/>
          </w:tcPr>
          <w:p w14:paraId="6A31456E"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 xml:space="preserve">Instructor: </w:t>
            </w:r>
            <w:r>
              <w:rPr>
                <w:rFonts w:ascii="Calibri" w:hAnsi="Calibri" w:cs="Calibri"/>
                <w:kern w:val="24"/>
                <w:sz w:val="24"/>
                <w:szCs w:val="24"/>
              </w:rPr>
              <w:t xml:space="preserve">This is a temporary provision that allows an additional 15 days for landlords to obtain estimates and perform repairs after the end of the lease. </w:t>
            </w:r>
            <w:proofErr w:type="gramStart"/>
            <w:r>
              <w:rPr>
                <w:rFonts w:ascii="Calibri" w:hAnsi="Calibri" w:cs="Calibri"/>
                <w:kern w:val="24"/>
                <w:sz w:val="24"/>
                <w:szCs w:val="24"/>
              </w:rPr>
              <w:t>Typically</w:t>
            </w:r>
            <w:proofErr w:type="gramEnd"/>
            <w:r>
              <w:rPr>
                <w:rFonts w:ascii="Calibri" w:hAnsi="Calibri" w:cs="Calibri"/>
                <w:kern w:val="24"/>
                <w:sz w:val="24"/>
                <w:szCs w:val="24"/>
              </w:rPr>
              <w:t xml:space="preserve"> landlords have 45 days from the end of the lease term to provide tenant with an itemized list of damages, but the VRLTA allows an additional 15 days in the event that the damages require a contractor (for a total of 60 days). Because of the pandemic, it has been harder to get contractors and supplies, so the GA is giving a TEMPORARY extension of an additional 15 days (total of 75). This will end on June 30, 2024.</w:t>
            </w:r>
          </w:p>
          <w:p w14:paraId="7F417E8C" w14:textId="77777777" w:rsidR="00556985" w:rsidRDefault="00556985" w:rsidP="00556985">
            <w:pPr>
              <w:autoSpaceDE w:val="0"/>
              <w:autoSpaceDN w:val="0"/>
              <w:adjustRightInd w:val="0"/>
              <w:spacing w:after="0" w:line="240" w:lineRule="auto"/>
              <w:rPr>
                <w:rFonts w:ascii="Arial" w:hAnsi="Arial" w:cs="Arial"/>
                <w:kern w:val="0"/>
                <w:sz w:val="24"/>
                <w:szCs w:val="24"/>
              </w:rPr>
            </w:pPr>
          </w:p>
          <w:p w14:paraId="0EA0CF27" w14:textId="77777777" w:rsidR="00556985" w:rsidRDefault="00556985"/>
        </w:tc>
      </w:tr>
      <w:tr w:rsidR="00556985" w14:paraId="693A7596" w14:textId="77777777" w:rsidTr="00D86BFE">
        <w:tblPrEx>
          <w:tblCellMar>
            <w:top w:w="0" w:type="dxa"/>
            <w:bottom w:w="0" w:type="dxa"/>
          </w:tblCellMar>
        </w:tblPrEx>
        <w:trPr>
          <w:trHeight w:val="4000"/>
        </w:trPr>
        <w:tc>
          <w:tcPr>
            <w:tcW w:w="1368" w:type="dxa"/>
            <w:vAlign w:val="center"/>
          </w:tcPr>
          <w:p w14:paraId="573D95C0" w14:textId="77777777" w:rsidR="00556985" w:rsidRDefault="00556985">
            <w:r>
              <w:t>Slide 5</w:t>
            </w:r>
          </w:p>
        </w:tc>
        <w:tc>
          <w:tcPr>
            <w:tcW w:w="3996" w:type="dxa"/>
            <w:vAlign w:val="center"/>
          </w:tcPr>
          <w:p w14:paraId="70A6D0EC" w14:textId="7FD05C38" w:rsidR="00556985" w:rsidRDefault="00CA1C8C" w:rsidP="00D86BFE">
            <w:pPr>
              <w:jc w:val="center"/>
            </w:pPr>
            <w:r>
              <w:rPr>
                <w:noProof/>
              </w:rPr>
              <w:drawing>
                <wp:inline distT="0" distB="0" distL="0" distR="0" wp14:anchorId="09564A63" wp14:editId="72CEBA5C">
                  <wp:extent cx="2400300" cy="1350010"/>
                  <wp:effectExtent l="0" t="0" r="0" b="2540"/>
                  <wp:docPr id="14064013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0300" cy="1350010"/>
                          </a:xfrm>
                          <a:prstGeom prst="rect">
                            <a:avLst/>
                          </a:prstGeom>
                          <a:noFill/>
                          <a:ln>
                            <a:noFill/>
                          </a:ln>
                        </pic:spPr>
                      </pic:pic>
                    </a:graphicData>
                  </a:graphic>
                </wp:inline>
              </w:drawing>
            </w:r>
          </w:p>
        </w:tc>
        <w:tc>
          <w:tcPr>
            <w:tcW w:w="3996" w:type="dxa"/>
            <w:vAlign w:val="center"/>
          </w:tcPr>
          <w:p w14:paraId="4AA9D655"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 xml:space="preserve">Instructor: </w:t>
            </w:r>
            <w:r>
              <w:rPr>
                <w:rFonts w:ascii="Calibri" w:hAnsi="Calibri" w:cs="Calibri"/>
                <w:kern w:val="24"/>
                <w:sz w:val="24"/>
                <w:szCs w:val="24"/>
              </w:rPr>
              <w:t>If a tenant goes to move into a property and there is a condition that constitutes a fire hazard or serious threat to the life, health, or safety of tenants or occupants, the tenant is entitled to terminate the rental agreement and receive a full refund of all deposits and rent paid to the landlord, as long as the tenant provides the landlord with written notice of their intent to terminate within 7 days of the date of possession.</w:t>
            </w:r>
          </w:p>
          <w:p w14:paraId="70906A98" w14:textId="77777777" w:rsidR="00556985" w:rsidRDefault="00556985" w:rsidP="00556985">
            <w:pPr>
              <w:autoSpaceDE w:val="0"/>
              <w:autoSpaceDN w:val="0"/>
              <w:adjustRightInd w:val="0"/>
              <w:spacing w:after="0" w:line="240" w:lineRule="auto"/>
              <w:rPr>
                <w:rFonts w:ascii="Calibri" w:hAnsi="Calibri" w:cs="Calibri"/>
                <w:kern w:val="24"/>
                <w:sz w:val="24"/>
                <w:szCs w:val="24"/>
              </w:rPr>
            </w:pPr>
          </w:p>
          <w:p w14:paraId="6F5642C0"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Conditions that constitute a fire hazard of serious threat to the life, health, or safety of tenants or occupants includes:</w:t>
            </w:r>
          </w:p>
          <w:p w14:paraId="5B4BB191" w14:textId="77777777" w:rsidR="00556985" w:rsidRDefault="00556985" w:rsidP="00556985">
            <w:pPr>
              <w:numPr>
                <w:ilvl w:val="0"/>
                <w:numId w:val="1"/>
              </w:numPr>
              <w:autoSpaceDE w:val="0"/>
              <w:autoSpaceDN w:val="0"/>
              <w:adjustRightInd w:val="0"/>
              <w:spacing w:after="0" w:line="240" w:lineRule="auto"/>
              <w:ind w:left="270" w:hanging="270"/>
              <w:rPr>
                <w:rFonts w:ascii="Calibri" w:hAnsi="Calibri" w:cs="Calibri"/>
                <w:kern w:val="24"/>
                <w:sz w:val="24"/>
                <w:szCs w:val="24"/>
              </w:rPr>
            </w:pPr>
            <w:r>
              <w:rPr>
                <w:rFonts w:ascii="Calibri" w:hAnsi="Calibri" w:cs="Calibri"/>
                <w:kern w:val="24"/>
                <w:sz w:val="24"/>
                <w:szCs w:val="24"/>
              </w:rPr>
              <w:t>Rodent infestation</w:t>
            </w:r>
          </w:p>
          <w:p w14:paraId="01E7DE39" w14:textId="77777777" w:rsidR="00556985" w:rsidRDefault="00556985" w:rsidP="00556985">
            <w:pPr>
              <w:numPr>
                <w:ilvl w:val="0"/>
                <w:numId w:val="1"/>
              </w:numPr>
              <w:autoSpaceDE w:val="0"/>
              <w:autoSpaceDN w:val="0"/>
              <w:adjustRightInd w:val="0"/>
              <w:spacing w:after="0" w:line="240" w:lineRule="auto"/>
              <w:ind w:left="270" w:hanging="270"/>
              <w:rPr>
                <w:rFonts w:ascii="Calibri" w:hAnsi="Calibri" w:cs="Calibri"/>
                <w:kern w:val="24"/>
                <w:sz w:val="24"/>
                <w:szCs w:val="24"/>
              </w:rPr>
            </w:pPr>
            <w:r>
              <w:rPr>
                <w:rFonts w:ascii="Calibri" w:hAnsi="Calibri" w:cs="Calibri"/>
                <w:kern w:val="24"/>
                <w:sz w:val="24"/>
                <w:szCs w:val="24"/>
              </w:rPr>
              <w:t xml:space="preserve">Lack of heat, hot or cold running water, electricity, or adequate sewage disposal facilities </w:t>
            </w:r>
          </w:p>
          <w:p w14:paraId="3744DC51" w14:textId="77777777" w:rsidR="00556985" w:rsidRDefault="00556985" w:rsidP="00556985">
            <w:pPr>
              <w:autoSpaceDE w:val="0"/>
              <w:autoSpaceDN w:val="0"/>
              <w:adjustRightInd w:val="0"/>
              <w:spacing w:after="0" w:line="240" w:lineRule="auto"/>
              <w:ind w:left="270" w:hanging="270"/>
              <w:rPr>
                <w:rFonts w:ascii="Calibri" w:hAnsi="Calibri" w:cs="Calibri"/>
                <w:kern w:val="24"/>
                <w:sz w:val="24"/>
                <w:szCs w:val="24"/>
              </w:rPr>
            </w:pPr>
          </w:p>
          <w:p w14:paraId="67C4DE53"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If the tenant provides notice to the landlord, the landlord can assert that </w:t>
            </w:r>
            <w:r>
              <w:rPr>
                <w:rFonts w:ascii="Calibri" w:hAnsi="Calibri" w:cs="Calibri"/>
                <w:kern w:val="24"/>
                <w:sz w:val="24"/>
                <w:szCs w:val="24"/>
              </w:rPr>
              <w:lastRenderedPageBreak/>
              <w:t>the tenant is unjustified in his termination by providing written notice to the tenant of his refusal to accept the tenant’s termination notice along with the reasons for such refusal within 15 BUSINESS days.</w:t>
            </w:r>
          </w:p>
          <w:p w14:paraId="06921143" w14:textId="77777777" w:rsidR="00556985" w:rsidRDefault="00556985" w:rsidP="00556985">
            <w:pPr>
              <w:autoSpaceDE w:val="0"/>
              <w:autoSpaceDN w:val="0"/>
              <w:adjustRightInd w:val="0"/>
              <w:spacing w:after="0" w:line="240" w:lineRule="auto"/>
              <w:rPr>
                <w:rFonts w:ascii="Calibri" w:hAnsi="Calibri" w:cs="Calibri"/>
                <w:kern w:val="24"/>
                <w:sz w:val="24"/>
                <w:szCs w:val="24"/>
              </w:rPr>
            </w:pPr>
          </w:p>
          <w:p w14:paraId="2CACFB87" w14:textId="77777777" w:rsidR="00556985" w:rsidRDefault="00556985" w:rsidP="00556985">
            <w:pPr>
              <w:autoSpaceDE w:val="0"/>
              <w:autoSpaceDN w:val="0"/>
              <w:adjustRightInd w:val="0"/>
              <w:spacing w:after="0" w:line="240" w:lineRule="auto"/>
              <w:rPr>
                <w:rFonts w:ascii="Arial" w:hAnsi="Arial" w:cs="Arial"/>
                <w:kern w:val="0"/>
                <w:sz w:val="24"/>
                <w:szCs w:val="24"/>
              </w:rPr>
            </w:pPr>
          </w:p>
          <w:p w14:paraId="033A28C3" w14:textId="77777777" w:rsidR="00556985" w:rsidRDefault="00556985"/>
        </w:tc>
      </w:tr>
      <w:tr w:rsidR="00556985" w14:paraId="48D8F93D" w14:textId="77777777" w:rsidTr="00D86BFE">
        <w:tblPrEx>
          <w:tblCellMar>
            <w:top w:w="0" w:type="dxa"/>
            <w:bottom w:w="0" w:type="dxa"/>
          </w:tblCellMar>
        </w:tblPrEx>
        <w:trPr>
          <w:trHeight w:val="4000"/>
        </w:trPr>
        <w:tc>
          <w:tcPr>
            <w:tcW w:w="1368" w:type="dxa"/>
            <w:vAlign w:val="center"/>
          </w:tcPr>
          <w:p w14:paraId="02BDF6E8" w14:textId="77777777" w:rsidR="00556985" w:rsidRDefault="00556985">
            <w:r>
              <w:lastRenderedPageBreak/>
              <w:t>Slide 6</w:t>
            </w:r>
          </w:p>
        </w:tc>
        <w:tc>
          <w:tcPr>
            <w:tcW w:w="3996" w:type="dxa"/>
            <w:vAlign w:val="center"/>
          </w:tcPr>
          <w:p w14:paraId="4CB5CC9E" w14:textId="68D3E7EF" w:rsidR="00556985" w:rsidRDefault="00CA1C8C" w:rsidP="00D86BFE">
            <w:pPr>
              <w:jc w:val="center"/>
            </w:pPr>
            <w:r>
              <w:rPr>
                <w:noProof/>
              </w:rPr>
              <w:drawing>
                <wp:inline distT="0" distB="0" distL="0" distR="0" wp14:anchorId="56B2D0B7" wp14:editId="1FC522C7">
                  <wp:extent cx="2400300" cy="1350010"/>
                  <wp:effectExtent l="0" t="0" r="0" b="2540"/>
                  <wp:docPr id="19693304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0300" cy="1350010"/>
                          </a:xfrm>
                          <a:prstGeom prst="rect">
                            <a:avLst/>
                          </a:prstGeom>
                          <a:noFill/>
                          <a:ln>
                            <a:noFill/>
                          </a:ln>
                        </pic:spPr>
                      </pic:pic>
                    </a:graphicData>
                  </a:graphic>
                </wp:inline>
              </w:drawing>
            </w:r>
          </w:p>
        </w:tc>
        <w:tc>
          <w:tcPr>
            <w:tcW w:w="3996" w:type="dxa"/>
            <w:vAlign w:val="center"/>
          </w:tcPr>
          <w:p w14:paraId="757794ED"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 xml:space="preserve">Instructor: </w:t>
            </w:r>
            <w:r>
              <w:rPr>
                <w:rFonts w:ascii="Calibri" w:hAnsi="Calibri" w:cs="Calibri"/>
                <w:kern w:val="24"/>
                <w:sz w:val="24"/>
                <w:szCs w:val="24"/>
              </w:rPr>
              <w:t xml:space="preserve">a document is being developed that provides “plain English” instructions that explain to defendants how to interpret the summons for unlawful detainer. This form will also include information on the statewide legal aid and Virginia Eviction Reduction Pilot program. </w:t>
            </w:r>
          </w:p>
          <w:p w14:paraId="07993C8A" w14:textId="77777777" w:rsidR="00556985" w:rsidRDefault="00556985" w:rsidP="00556985">
            <w:pPr>
              <w:autoSpaceDE w:val="0"/>
              <w:autoSpaceDN w:val="0"/>
              <w:adjustRightInd w:val="0"/>
              <w:spacing w:after="0" w:line="240" w:lineRule="auto"/>
              <w:rPr>
                <w:rFonts w:ascii="Arial" w:hAnsi="Arial" w:cs="Arial"/>
                <w:kern w:val="0"/>
                <w:sz w:val="24"/>
                <w:szCs w:val="24"/>
              </w:rPr>
            </w:pPr>
          </w:p>
          <w:p w14:paraId="1CB4381A" w14:textId="77777777" w:rsidR="00556985" w:rsidRDefault="00556985"/>
        </w:tc>
      </w:tr>
      <w:tr w:rsidR="00556985" w14:paraId="1E5B764C" w14:textId="77777777" w:rsidTr="00D86BFE">
        <w:tblPrEx>
          <w:tblCellMar>
            <w:top w:w="0" w:type="dxa"/>
            <w:bottom w:w="0" w:type="dxa"/>
          </w:tblCellMar>
        </w:tblPrEx>
        <w:trPr>
          <w:trHeight w:val="4000"/>
        </w:trPr>
        <w:tc>
          <w:tcPr>
            <w:tcW w:w="1368" w:type="dxa"/>
            <w:vAlign w:val="center"/>
          </w:tcPr>
          <w:p w14:paraId="46DE710D" w14:textId="77777777" w:rsidR="00556985" w:rsidRDefault="00556985">
            <w:r>
              <w:t>Slide 7</w:t>
            </w:r>
          </w:p>
        </w:tc>
        <w:tc>
          <w:tcPr>
            <w:tcW w:w="3996" w:type="dxa"/>
            <w:vAlign w:val="center"/>
          </w:tcPr>
          <w:p w14:paraId="5EA3DC08" w14:textId="0D6AD5D3" w:rsidR="00556985" w:rsidRDefault="004B55E0" w:rsidP="00D86BFE">
            <w:pPr>
              <w:jc w:val="center"/>
            </w:pPr>
            <w:r>
              <w:rPr>
                <w:noProof/>
              </w:rPr>
              <w:drawing>
                <wp:inline distT="0" distB="0" distL="0" distR="0" wp14:anchorId="3DF744FF" wp14:editId="4793D54D">
                  <wp:extent cx="2400300" cy="1350010"/>
                  <wp:effectExtent l="0" t="0" r="0" b="2540"/>
                  <wp:docPr id="7117890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0300" cy="1350010"/>
                          </a:xfrm>
                          <a:prstGeom prst="rect">
                            <a:avLst/>
                          </a:prstGeom>
                          <a:noFill/>
                          <a:ln>
                            <a:noFill/>
                          </a:ln>
                        </pic:spPr>
                      </pic:pic>
                    </a:graphicData>
                  </a:graphic>
                </wp:inline>
              </w:drawing>
            </w:r>
          </w:p>
        </w:tc>
        <w:tc>
          <w:tcPr>
            <w:tcW w:w="3996" w:type="dxa"/>
            <w:vAlign w:val="center"/>
          </w:tcPr>
          <w:p w14:paraId="4F3D16B7"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 xml:space="preserve">Instructor: </w:t>
            </w:r>
            <w:r>
              <w:rPr>
                <w:rFonts w:ascii="Calibri" w:hAnsi="Calibri" w:cs="Calibri"/>
                <w:kern w:val="24"/>
                <w:sz w:val="24"/>
                <w:szCs w:val="24"/>
              </w:rPr>
              <w:t xml:space="preserve">For landlords who owns more than four properties (or more than a 10% interest in more than 4 units) in Virginia, they will now be required to provide written notice to any tenant who has the option to renew a lease or whose lease contains an automatic renewal provision of any increase in rent during the subsequent rental agreement term. This notice must be provided no less than 60 days before the end of the rental term. </w:t>
            </w:r>
          </w:p>
          <w:p w14:paraId="759D5553" w14:textId="77777777" w:rsidR="00556985" w:rsidRDefault="00556985" w:rsidP="00556985">
            <w:pPr>
              <w:autoSpaceDE w:val="0"/>
              <w:autoSpaceDN w:val="0"/>
              <w:adjustRightInd w:val="0"/>
              <w:spacing w:after="0" w:line="240" w:lineRule="auto"/>
              <w:rPr>
                <w:rFonts w:ascii="Calibri" w:hAnsi="Calibri" w:cs="Calibri"/>
                <w:kern w:val="24"/>
                <w:sz w:val="24"/>
                <w:szCs w:val="24"/>
              </w:rPr>
            </w:pPr>
          </w:p>
          <w:p w14:paraId="2FDF521B"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If you are using the Virginia REALTORS lease (Form 200), paragraph 1.j. allows for you to fill in any number of days </w:t>
            </w:r>
            <w:r>
              <w:rPr>
                <w:rFonts w:ascii="Calibri" w:hAnsi="Calibri" w:cs="Calibri"/>
                <w:kern w:val="24"/>
                <w:sz w:val="24"/>
                <w:szCs w:val="24"/>
              </w:rPr>
              <w:lastRenderedPageBreak/>
              <w:t>for notice to terminate/renew. That is still fine, so long as the rent will not be increasing. Let’s say you’ve written 30 days in that field, but the owner wants to increase rent. You must give notice 60 days before the renewal, even though the lease only says 30 days notice.</w:t>
            </w:r>
          </w:p>
          <w:p w14:paraId="255DA084" w14:textId="77777777" w:rsidR="00556985" w:rsidRDefault="00556985" w:rsidP="00556985">
            <w:pPr>
              <w:autoSpaceDE w:val="0"/>
              <w:autoSpaceDN w:val="0"/>
              <w:adjustRightInd w:val="0"/>
              <w:spacing w:after="0" w:line="240" w:lineRule="auto"/>
              <w:rPr>
                <w:rFonts w:ascii="Arial" w:hAnsi="Arial" w:cs="Arial"/>
                <w:kern w:val="0"/>
                <w:sz w:val="24"/>
                <w:szCs w:val="24"/>
              </w:rPr>
            </w:pPr>
          </w:p>
          <w:p w14:paraId="13E39F1A" w14:textId="77777777" w:rsidR="00556985" w:rsidRDefault="00556985"/>
        </w:tc>
      </w:tr>
      <w:tr w:rsidR="00556985" w14:paraId="63CED981" w14:textId="77777777" w:rsidTr="00D86BFE">
        <w:tblPrEx>
          <w:tblCellMar>
            <w:top w:w="0" w:type="dxa"/>
            <w:bottom w:w="0" w:type="dxa"/>
          </w:tblCellMar>
        </w:tblPrEx>
        <w:trPr>
          <w:trHeight w:val="4000"/>
        </w:trPr>
        <w:tc>
          <w:tcPr>
            <w:tcW w:w="1368" w:type="dxa"/>
            <w:vAlign w:val="center"/>
          </w:tcPr>
          <w:p w14:paraId="35D610E2" w14:textId="77777777" w:rsidR="00556985" w:rsidRDefault="00556985">
            <w:r>
              <w:lastRenderedPageBreak/>
              <w:t>Slide 8</w:t>
            </w:r>
          </w:p>
        </w:tc>
        <w:tc>
          <w:tcPr>
            <w:tcW w:w="3996" w:type="dxa"/>
            <w:vAlign w:val="center"/>
          </w:tcPr>
          <w:p w14:paraId="70528EAE" w14:textId="18348BF9" w:rsidR="00556985" w:rsidRDefault="004B55E0" w:rsidP="00D86BFE">
            <w:pPr>
              <w:jc w:val="center"/>
            </w:pPr>
            <w:r>
              <w:rPr>
                <w:noProof/>
              </w:rPr>
              <w:drawing>
                <wp:inline distT="0" distB="0" distL="0" distR="0" wp14:anchorId="79CA3D53" wp14:editId="0B3C0265">
                  <wp:extent cx="2400300" cy="1350010"/>
                  <wp:effectExtent l="0" t="0" r="0" b="2540"/>
                  <wp:docPr id="7539427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0300" cy="1350010"/>
                          </a:xfrm>
                          <a:prstGeom prst="rect">
                            <a:avLst/>
                          </a:prstGeom>
                          <a:noFill/>
                          <a:ln>
                            <a:noFill/>
                          </a:ln>
                        </pic:spPr>
                      </pic:pic>
                    </a:graphicData>
                  </a:graphic>
                </wp:inline>
              </w:drawing>
            </w:r>
          </w:p>
        </w:tc>
        <w:tc>
          <w:tcPr>
            <w:tcW w:w="3996" w:type="dxa"/>
            <w:vAlign w:val="center"/>
          </w:tcPr>
          <w:p w14:paraId="2A38AE96"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 xml:space="preserve">Instructor: </w:t>
            </w:r>
            <w:r>
              <w:rPr>
                <w:rFonts w:ascii="Calibri" w:hAnsi="Calibri" w:cs="Calibri"/>
                <w:kern w:val="24"/>
                <w:sz w:val="24"/>
                <w:szCs w:val="24"/>
              </w:rPr>
              <w:t xml:space="preserve">This bill makes it a violation of the Virginia Consumer Protection Act for a person with a “therapeutic relationship” to provide fraudulent supporting documentation of an individual’s disability or disability related need for an assistance animal. </w:t>
            </w:r>
          </w:p>
          <w:p w14:paraId="5B8E7041" w14:textId="77777777" w:rsidR="00556985" w:rsidRDefault="00556985" w:rsidP="00556985">
            <w:pPr>
              <w:autoSpaceDE w:val="0"/>
              <w:autoSpaceDN w:val="0"/>
              <w:adjustRightInd w:val="0"/>
              <w:spacing w:after="0" w:line="240" w:lineRule="auto"/>
              <w:rPr>
                <w:rFonts w:ascii="Calibri" w:hAnsi="Calibri" w:cs="Calibri"/>
                <w:kern w:val="24"/>
                <w:sz w:val="24"/>
                <w:szCs w:val="24"/>
              </w:rPr>
            </w:pPr>
          </w:p>
          <w:p w14:paraId="02755D8F"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The Virginia Consumer Protection Act allows for “any person who suffers loss as the result of a violation of this chapter” and allows for actual damages or $500, whichever is greater. If the violation was willful, damages may be increased to 3 times actual damages or $1,000 whichever is greater. Additionally, the person can be awarded reasonable attorneys’ fees and court costs. </w:t>
            </w:r>
          </w:p>
          <w:p w14:paraId="6B92F8A9" w14:textId="77777777" w:rsidR="00556985" w:rsidRDefault="00556985" w:rsidP="00556985">
            <w:pPr>
              <w:autoSpaceDE w:val="0"/>
              <w:autoSpaceDN w:val="0"/>
              <w:adjustRightInd w:val="0"/>
              <w:spacing w:after="0" w:line="240" w:lineRule="auto"/>
              <w:rPr>
                <w:rFonts w:ascii="Calibri" w:hAnsi="Calibri" w:cs="Calibri"/>
                <w:kern w:val="24"/>
                <w:sz w:val="24"/>
                <w:szCs w:val="24"/>
              </w:rPr>
            </w:pPr>
          </w:p>
          <w:p w14:paraId="005A50B4"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This is not a perfect solution for stopping people who provide documentation for assistance animals </w:t>
            </w:r>
            <w:proofErr w:type="gramStart"/>
            <w:r>
              <w:rPr>
                <w:rFonts w:ascii="Calibri" w:hAnsi="Calibri" w:cs="Calibri"/>
                <w:kern w:val="24"/>
                <w:sz w:val="24"/>
                <w:szCs w:val="24"/>
              </w:rPr>
              <w:t>as a way to</w:t>
            </w:r>
            <w:proofErr w:type="gramEnd"/>
            <w:r>
              <w:rPr>
                <w:rFonts w:ascii="Calibri" w:hAnsi="Calibri" w:cs="Calibri"/>
                <w:kern w:val="24"/>
                <w:sz w:val="24"/>
                <w:szCs w:val="24"/>
              </w:rPr>
              <w:t xml:space="preserve"> get around pet restrictions, rent or deposits, but it is something. </w:t>
            </w:r>
          </w:p>
          <w:p w14:paraId="23D6C3C3" w14:textId="77777777" w:rsidR="00556985" w:rsidRDefault="00556985" w:rsidP="00556985">
            <w:pPr>
              <w:autoSpaceDE w:val="0"/>
              <w:autoSpaceDN w:val="0"/>
              <w:adjustRightInd w:val="0"/>
              <w:spacing w:after="0" w:line="240" w:lineRule="auto"/>
              <w:rPr>
                <w:rFonts w:ascii="Arial" w:hAnsi="Arial" w:cs="Arial"/>
                <w:kern w:val="0"/>
                <w:sz w:val="24"/>
                <w:szCs w:val="24"/>
              </w:rPr>
            </w:pPr>
          </w:p>
          <w:p w14:paraId="0120D66E" w14:textId="77777777" w:rsidR="00556985" w:rsidRDefault="00556985"/>
        </w:tc>
      </w:tr>
      <w:tr w:rsidR="00556985" w14:paraId="479AD238" w14:textId="77777777" w:rsidTr="00D86BFE">
        <w:tblPrEx>
          <w:tblCellMar>
            <w:top w:w="0" w:type="dxa"/>
            <w:bottom w:w="0" w:type="dxa"/>
          </w:tblCellMar>
        </w:tblPrEx>
        <w:trPr>
          <w:trHeight w:val="4000"/>
        </w:trPr>
        <w:tc>
          <w:tcPr>
            <w:tcW w:w="1368" w:type="dxa"/>
            <w:vAlign w:val="center"/>
          </w:tcPr>
          <w:p w14:paraId="117B15C4" w14:textId="77777777" w:rsidR="00556985" w:rsidRDefault="00556985">
            <w:r>
              <w:lastRenderedPageBreak/>
              <w:t>Slide 9</w:t>
            </w:r>
          </w:p>
        </w:tc>
        <w:tc>
          <w:tcPr>
            <w:tcW w:w="3996" w:type="dxa"/>
            <w:vAlign w:val="center"/>
          </w:tcPr>
          <w:p w14:paraId="39FEAE5C" w14:textId="77DAEE21" w:rsidR="00556985" w:rsidRDefault="004B55E0" w:rsidP="00D86BFE">
            <w:pPr>
              <w:jc w:val="center"/>
            </w:pPr>
            <w:r>
              <w:rPr>
                <w:noProof/>
              </w:rPr>
              <w:drawing>
                <wp:inline distT="0" distB="0" distL="0" distR="0" wp14:anchorId="71C05E20" wp14:editId="23185754">
                  <wp:extent cx="2400300" cy="1350010"/>
                  <wp:effectExtent l="0" t="0" r="0" b="2540"/>
                  <wp:docPr id="14588578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0300" cy="1350010"/>
                          </a:xfrm>
                          <a:prstGeom prst="rect">
                            <a:avLst/>
                          </a:prstGeom>
                          <a:noFill/>
                          <a:ln>
                            <a:noFill/>
                          </a:ln>
                        </pic:spPr>
                      </pic:pic>
                    </a:graphicData>
                  </a:graphic>
                </wp:inline>
              </w:drawing>
            </w:r>
          </w:p>
        </w:tc>
        <w:tc>
          <w:tcPr>
            <w:tcW w:w="3996" w:type="dxa"/>
            <w:vAlign w:val="center"/>
          </w:tcPr>
          <w:p w14:paraId="7A73D510"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 xml:space="preserve">Instructor: </w:t>
            </w:r>
            <w:r>
              <w:rPr>
                <w:rFonts w:ascii="Calibri" w:hAnsi="Calibri" w:cs="Calibri"/>
                <w:kern w:val="24"/>
                <w:sz w:val="24"/>
                <w:szCs w:val="24"/>
              </w:rPr>
              <w:t xml:space="preserve">Some judges are refusing to proceed with unlawful detainer actions if the tenant hasn’t signed the Statement of Tenants Rights and Responsibilities – which tenants are refusing to sign </w:t>
            </w:r>
            <w:proofErr w:type="gramStart"/>
            <w:r>
              <w:rPr>
                <w:rFonts w:ascii="Calibri" w:hAnsi="Calibri" w:cs="Calibri"/>
                <w:kern w:val="24"/>
                <w:sz w:val="24"/>
                <w:szCs w:val="24"/>
              </w:rPr>
              <w:t>as a way to</w:t>
            </w:r>
            <w:proofErr w:type="gramEnd"/>
            <w:r>
              <w:rPr>
                <w:rFonts w:ascii="Calibri" w:hAnsi="Calibri" w:cs="Calibri"/>
                <w:kern w:val="24"/>
                <w:sz w:val="24"/>
                <w:szCs w:val="24"/>
              </w:rPr>
              <w:t xml:space="preserve"> prevent eviction when they are at that point. </w:t>
            </w:r>
          </w:p>
          <w:p w14:paraId="48C1B841" w14:textId="77777777" w:rsidR="00556985" w:rsidRDefault="00556985" w:rsidP="00556985">
            <w:pPr>
              <w:autoSpaceDE w:val="0"/>
              <w:autoSpaceDN w:val="0"/>
              <w:adjustRightInd w:val="0"/>
              <w:spacing w:after="0" w:line="240" w:lineRule="auto"/>
              <w:rPr>
                <w:rFonts w:ascii="Calibri" w:hAnsi="Calibri" w:cs="Calibri"/>
                <w:kern w:val="24"/>
                <w:sz w:val="24"/>
                <w:szCs w:val="24"/>
              </w:rPr>
            </w:pPr>
          </w:p>
          <w:p w14:paraId="4AC66FC0"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It was never intended that if the landlord provided the Statement of Tenants Rights and Responsibilities, but either forgot or could not get the tenant to sign the document that they would never be able to file for Unlawful Detainer. Now the law says that if the tenant fails to sign the form, the landlord shall record the date on which they provided the form to the tenant and the fact that the tenant failed to sign the form. </w:t>
            </w:r>
          </w:p>
          <w:p w14:paraId="39BA064C" w14:textId="77777777" w:rsidR="00556985" w:rsidRDefault="00556985" w:rsidP="00556985">
            <w:pPr>
              <w:autoSpaceDE w:val="0"/>
              <w:autoSpaceDN w:val="0"/>
              <w:adjustRightInd w:val="0"/>
              <w:spacing w:after="0" w:line="240" w:lineRule="auto"/>
              <w:rPr>
                <w:rFonts w:ascii="Calibri" w:hAnsi="Calibri" w:cs="Calibri"/>
                <w:kern w:val="24"/>
                <w:sz w:val="24"/>
                <w:szCs w:val="24"/>
              </w:rPr>
            </w:pPr>
          </w:p>
          <w:p w14:paraId="30905A84"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It also states that </w:t>
            </w:r>
            <w:proofErr w:type="gramStart"/>
            <w:r>
              <w:rPr>
                <w:rFonts w:ascii="Calibri" w:hAnsi="Calibri" w:cs="Calibri"/>
                <w:kern w:val="24"/>
                <w:sz w:val="24"/>
                <w:szCs w:val="24"/>
              </w:rPr>
              <w:t>subsequent to</w:t>
            </w:r>
            <w:proofErr w:type="gramEnd"/>
            <w:r>
              <w:rPr>
                <w:rFonts w:ascii="Calibri" w:hAnsi="Calibri" w:cs="Calibri"/>
                <w:kern w:val="24"/>
                <w:sz w:val="24"/>
                <w:szCs w:val="24"/>
              </w:rPr>
              <w:t xml:space="preserve"> the effective date of the tenancy, a landlord may, but is not required to, provide the tenant with and allow the tenant the opportunity to sign the form – so essentially, at renewal, you are not obligated to provide the form again.</w:t>
            </w:r>
          </w:p>
          <w:p w14:paraId="2CED49AE" w14:textId="77777777" w:rsidR="00556985" w:rsidRDefault="00556985" w:rsidP="00556985">
            <w:pPr>
              <w:autoSpaceDE w:val="0"/>
              <w:autoSpaceDN w:val="0"/>
              <w:adjustRightInd w:val="0"/>
              <w:spacing w:after="0" w:line="240" w:lineRule="auto"/>
              <w:rPr>
                <w:rFonts w:ascii="Calibri" w:hAnsi="Calibri" w:cs="Calibri"/>
                <w:kern w:val="24"/>
                <w:sz w:val="24"/>
                <w:szCs w:val="24"/>
              </w:rPr>
            </w:pPr>
          </w:p>
          <w:p w14:paraId="263055E1"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Finally, the law clarifies that the form must be current as of the date of delivery – not current when the unlawful detainer action begins. </w:t>
            </w:r>
          </w:p>
          <w:p w14:paraId="275B5F06" w14:textId="77777777" w:rsidR="00556985" w:rsidRDefault="00556985" w:rsidP="00556985">
            <w:pPr>
              <w:autoSpaceDE w:val="0"/>
              <w:autoSpaceDN w:val="0"/>
              <w:adjustRightInd w:val="0"/>
              <w:spacing w:after="0" w:line="240" w:lineRule="auto"/>
              <w:rPr>
                <w:rFonts w:ascii="Calibri" w:hAnsi="Calibri" w:cs="Calibri"/>
                <w:kern w:val="24"/>
                <w:sz w:val="24"/>
                <w:szCs w:val="24"/>
              </w:rPr>
            </w:pPr>
          </w:p>
          <w:p w14:paraId="77592B30"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If you </w:t>
            </w:r>
            <w:proofErr w:type="gramStart"/>
            <w:r>
              <w:rPr>
                <w:rFonts w:ascii="Calibri" w:hAnsi="Calibri" w:cs="Calibri"/>
                <w:kern w:val="24"/>
                <w:sz w:val="24"/>
                <w:szCs w:val="24"/>
              </w:rPr>
              <w:t>are encountering</w:t>
            </w:r>
            <w:proofErr w:type="gramEnd"/>
            <w:r>
              <w:rPr>
                <w:rFonts w:ascii="Calibri" w:hAnsi="Calibri" w:cs="Calibri"/>
                <w:kern w:val="24"/>
                <w:sz w:val="24"/>
                <w:szCs w:val="24"/>
              </w:rPr>
              <w:t xml:space="preserve"> judges after July 1 that are requiring Statement of Tenants Rights and Responsibilities that are signed by tenants, please let VAR know. </w:t>
            </w:r>
          </w:p>
          <w:p w14:paraId="32DAD19D" w14:textId="77777777" w:rsidR="00556985" w:rsidRDefault="00556985" w:rsidP="00556985">
            <w:pPr>
              <w:autoSpaceDE w:val="0"/>
              <w:autoSpaceDN w:val="0"/>
              <w:adjustRightInd w:val="0"/>
              <w:spacing w:after="0" w:line="240" w:lineRule="auto"/>
              <w:rPr>
                <w:rFonts w:ascii="Arial" w:hAnsi="Arial" w:cs="Arial"/>
                <w:kern w:val="0"/>
                <w:sz w:val="24"/>
                <w:szCs w:val="24"/>
              </w:rPr>
            </w:pPr>
          </w:p>
          <w:p w14:paraId="0FA85392" w14:textId="77777777" w:rsidR="00556985" w:rsidRDefault="00556985"/>
        </w:tc>
      </w:tr>
      <w:tr w:rsidR="00556985" w14:paraId="724AF896" w14:textId="77777777" w:rsidTr="00D86BFE">
        <w:tblPrEx>
          <w:tblCellMar>
            <w:top w:w="0" w:type="dxa"/>
            <w:bottom w:w="0" w:type="dxa"/>
          </w:tblCellMar>
        </w:tblPrEx>
        <w:trPr>
          <w:trHeight w:val="4000"/>
        </w:trPr>
        <w:tc>
          <w:tcPr>
            <w:tcW w:w="1368" w:type="dxa"/>
            <w:vAlign w:val="center"/>
          </w:tcPr>
          <w:p w14:paraId="197F8171" w14:textId="77777777" w:rsidR="00556985" w:rsidRDefault="00556985">
            <w:r>
              <w:lastRenderedPageBreak/>
              <w:t>Slide 10</w:t>
            </w:r>
          </w:p>
        </w:tc>
        <w:tc>
          <w:tcPr>
            <w:tcW w:w="3996" w:type="dxa"/>
            <w:vAlign w:val="center"/>
          </w:tcPr>
          <w:p w14:paraId="4B959063" w14:textId="23116BEE" w:rsidR="00556985" w:rsidRDefault="00004DDB" w:rsidP="00D86BFE">
            <w:pPr>
              <w:jc w:val="center"/>
            </w:pPr>
            <w:r>
              <w:rPr>
                <w:noProof/>
              </w:rPr>
              <w:drawing>
                <wp:inline distT="0" distB="0" distL="0" distR="0" wp14:anchorId="110C145F" wp14:editId="524B0526">
                  <wp:extent cx="2400300" cy="1350010"/>
                  <wp:effectExtent l="0" t="0" r="0" b="2540"/>
                  <wp:docPr id="14174933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0300" cy="1350010"/>
                          </a:xfrm>
                          <a:prstGeom prst="rect">
                            <a:avLst/>
                          </a:prstGeom>
                          <a:noFill/>
                          <a:ln>
                            <a:noFill/>
                          </a:ln>
                        </pic:spPr>
                      </pic:pic>
                    </a:graphicData>
                  </a:graphic>
                </wp:inline>
              </w:drawing>
            </w:r>
          </w:p>
        </w:tc>
        <w:tc>
          <w:tcPr>
            <w:tcW w:w="3996" w:type="dxa"/>
            <w:vAlign w:val="center"/>
          </w:tcPr>
          <w:p w14:paraId="43D0F29E"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 xml:space="preserve">Instructor: </w:t>
            </w:r>
            <w:r>
              <w:rPr>
                <w:rFonts w:ascii="Calibri" w:hAnsi="Calibri" w:cs="Calibri"/>
                <w:kern w:val="24"/>
                <w:sz w:val="24"/>
                <w:szCs w:val="24"/>
              </w:rPr>
              <w:t xml:space="preserve">It’s unlikely this will apply to any of you, but we wanted to include it just in case. This law only applies to a landlord who owns more than 200 rental dwelling units that are attached to the same piece of real property – so essentially a rental community with 200+ units in the same community. </w:t>
            </w:r>
          </w:p>
          <w:p w14:paraId="41F86A45" w14:textId="77777777" w:rsidR="00556985" w:rsidRDefault="00556985" w:rsidP="00556985">
            <w:pPr>
              <w:autoSpaceDE w:val="0"/>
              <w:autoSpaceDN w:val="0"/>
              <w:adjustRightInd w:val="0"/>
              <w:spacing w:after="0" w:line="240" w:lineRule="auto"/>
              <w:rPr>
                <w:rFonts w:ascii="Calibri" w:hAnsi="Calibri" w:cs="Calibri"/>
                <w:kern w:val="24"/>
                <w:sz w:val="24"/>
                <w:szCs w:val="24"/>
              </w:rPr>
            </w:pPr>
          </w:p>
          <w:p w14:paraId="7211AEDB"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Any landlord for a large apartment community (200+ units) must have </w:t>
            </w:r>
          </w:p>
          <w:p w14:paraId="2B6E06F0" w14:textId="77777777" w:rsidR="00556985" w:rsidRDefault="00556985" w:rsidP="00556985">
            <w:pPr>
              <w:numPr>
                <w:ilvl w:val="0"/>
                <w:numId w:val="2"/>
              </w:numPr>
              <w:autoSpaceDE w:val="0"/>
              <w:autoSpaceDN w:val="0"/>
              <w:adjustRightInd w:val="0"/>
              <w:spacing w:after="0" w:line="240" w:lineRule="auto"/>
              <w:ind w:left="360" w:hanging="360"/>
              <w:rPr>
                <w:rFonts w:ascii="Calibri" w:hAnsi="Calibri" w:cs="Calibri"/>
                <w:kern w:val="24"/>
                <w:sz w:val="24"/>
                <w:szCs w:val="24"/>
              </w:rPr>
            </w:pPr>
            <w:r>
              <w:rPr>
                <w:rFonts w:ascii="Calibri" w:hAnsi="Calibri" w:cs="Calibri"/>
                <w:kern w:val="24"/>
                <w:sz w:val="24"/>
                <w:szCs w:val="24"/>
              </w:rPr>
              <w:t xml:space="preserve">a policy requiring any applicant for employment in any position that will have access to keys for each rental dwelling unit to be subject to a pre-employment criminal history record check and </w:t>
            </w:r>
          </w:p>
          <w:p w14:paraId="370CF6EF" w14:textId="77777777" w:rsidR="00556985" w:rsidRDefault="00556985" w:rsidP="00556985">
            <w:pPr>
              <w:numPr>
                <w:ilvl w:val="0"/>
                <w:numId w:val="2"/>
              </w:numPr>
              <w:autoSpaceDE w:val="0"/>
              <w:autoSpaceDN w:val="0"/>
              <w:adjustRightInd w:val="0"/>
              <w:spacing w:after="0" w:line="240" w:lineRule="auto"/>
              <w:ind w:left="360" w:hanging="360"/>
              <w:rPr>
                <w:rFonts w:ascii="Calibri" w:hAnsi="Calibri" w:cs="Calibri"/>
                <w:kern w:val="24"/>
                <w:sz w:val="24"/>
                <w:szCs w:val="24"/>
              </w:rPr>
            </w:pPr>
            <w:r>
              <w:rPr>
                <w:rFonts w:ascii="Calibri" w:hAnsi="Calibri" w:cs="Calibri"/>
                <w:kern w:val="24"/>
                <w:sz w:val="24"/>
                <w:szCs w:val="24"/>
              </w:rPr>
              <w:t>Written policies and procedures regarding the storage, issuance, return, security of, access to, usage, and deactivation of keys and electronic key codes.</w:t>
            </w:r>
          </w:p>
          <w:p w14:paraId="076A0F30" w14:textId="77777777" w:rsidR="00556985" w:rsidRDefault="00556985" w:rsidP="00556985">
            <w:pPr>
              <w:autoSpaceDE w:val="0"/>
              <w:autoSpaceDN w:val="0"/>
              <w:adjustRightInd w:val="0"/>
              <w:spacing w:after="0" w:line="240" w:lineRule="auto"/>
              <w:rPr>
                <w:rFonts w:ascii="Calibri" w:hAnsi="Calibri" w:cs="Calibri"/>
                <w:kern w:val="24"/>
                <w:sz w:val="24"/>
                <w:szCs w:val="24"/>
              </w:rPr>
            </w:pPr>
          </w:p>
          <w:p w14:paraId="0AD5482F"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Essentially – if someone will have access to keys that would allow them to enter units, the landlord must do a criminal background check and then have policies around who can access the keys. </w:t>
            </w:r>
          </w:p>
          <w:p w14:paraId="333ED8D7" w14:textId="77777777" w:rsidR="00556985" w:rsidRDefault="00556985" w:rsidP="00556985">
            <w:pPr>
              <w:autoSpaceDE w:val="0"/>
              <w:autoSpaceDN w:val="0"/>
              <w:adjustRightInd w:val="0"/>
              <w:spacing w:after="0" w:line="240" w:lineRule="auto"/>
              <w:rPr>
                <w:rFonts w:ascii="Arial" w:hAnsi="Arial" w:cs="Arial"/>
                <w:kern w:val="0"/>
                <w:sz w:val="24"/>
                <w:szCs w:val="24"/>
              </w:rPr>
            </w:pPr>
          </w:p>
          <w:p w14:paraId="0D117891" w14:textId="77777777" w:rsidR="00556985" w:rsidRDefault="00556985"/>
        </w:tc>
      </w:tr>
      <w:tr w:rsidR="00556985" w14:paraId="7577AC4C" w14:textId="77777777" w:rsidTr="00D86BFE">
        <w:tblPrEx>
          <w:tblCellMar>
            <w:top w:w="0" w:type="dxa"/>
            <w:bottom w:w="0" w:type="dxa"/>
          </w:tblCellMar>
        </w:tblPrEx>
        <w:trPr>
          <w:trHeight w:val="4000"/>
        </w:trPr>
        <w:tc>
          <w:tcPr>
            <w:tcW w:w="1368" w:type="dxa"/>
            <w:vAlign w:val="center"/>
          </w:tcPr>
          <w:p w14:paraId="412F8F40" w14:textId="77777777" w:rsidR="00556985" w:rsidRDefault="00556985">
            <w:r>
              <w:lastRenderedPageBreak/>
              <w:t>Slide 11</w:t>
            </w:r>
          </w:p>
        </w:tc>
        <w:tc>
          <w:tcPr>
            <w:tcW w:w="3996" w:type="dxa"/>
            <w:vAlign w:val="center"/>
          </w:tcPr>
          <w:p w14:paraId="58974E5C" w14:textId="5A921C49" w:rsidR="00556985" w:rsidRDefault="00004DDB" w:rsidP="00D86BFE">
            <w:pPr>
              <w:jc w:val="center"/>
            </w:pPr>
            <w:r>
              <w:rPr>
                <w:noProof/>
              </w:rPr>
              <w:drawing>
                <wp:inline distT="0" distB="0" distL="0" distR="0" wp14:anchorId="1161A091" wp14:editId="1485581D">
                  <wp:extent cx="2400300" cy="1350010"/>
                  <wp:effectExtent l="0" t="0" r="0" b="2540"/>
                  <wp:docPr id="10623123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00300" cy="1350010"/>
                          </a:xfrm>
                          <a:prstGeom prst="rect">
                            <a:avLst/>
                          </a:prstGeom>
                          <a:noFill/>
                          <a:ln>
                            <a:noFill/>
                          </a:ln>
                        </pic:spPr>
                      </pic:pic>
                    </a:graphicData>
                  </a:graphic>
                </wp:inline>
              </w:drawing>
            </w:r>
          </w:p>
        </w:tc>
        <w:tc>
          <w:tcPr>
            <w:tcW w:w="3996" w:type="dxa"/>
            <w:vAlign w:val="center"/>
          </w:tcPr>
          <w:p w14:paraId="3FA5FD88"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 xml:space="preserve">Instructor: </w:t>
            </w:r>
            <w:r>
              <w:rPr>
                <w:rFonts w:ascii="Calibri" w:hAnsi="Calibri" w:cs="Calibri"/>
                <w:kern w:val="24"/>
                <w:sz w:val="24"/>
                <w:szCs w:val="24"/>
              </w:rPr>
              <w:t xml:space="preserve">If you manage multifamily rental properties, there are new requirements in place if the owner will not be renewing a lot of leases in a short period of time. This bill came up after one apartment community that provided a large percentage of the housing stock in an area terminated </w:t>
            </w:r>
            <w:proofErr w:type="gramStart"/>
            <w:r>
              <w:rPr>
                <w:rFonts w:ascii="Calibri" w:hAnsi="Calibri" w:cs="Calibri"/>
                <w:kern w:val="24"/>
                <w:sz w:val="24"/>
                <w:szCs w:val="24"/>
              </w:rPr>
              <w:t>all of</w:t>
            </w:r>
            <w:proofErr w:type="gramEnd"/>
            <w:r>
              <w:rPr>
                <w:rFonts w:ascii="Calibri" w:hAnsi="Calibri" w:cs="Calibri"/>
                <w:kern w:val="24"/>
                <w:sz w:val="24"/>
                <w:szCs w:val="24"/>
              </w:rPr>
              <w:t xml:space="preserve"> the leases within a few months creating a housing crisis because all of the hotels were full and there were no other rental units available to house the displaced tenants.</w:t>
            </w:r>
          </w:p>
          <w:p w14:paraId="5DFC29A3" w14:textId="77777777" w:rsidR="00556985" w:rsidRDefault="00556985" w:rsidP="00556985">
            <w:pPr>
              <w:autoSpaceDE w:val="0"/>
              <w:autoSpaceDN w:val="0"/>
              <w:adjustRightInd w:val="0"/>
              <w:spacing w:after="0" w:line="240" w:lineRule="auto"/>
              <w:rPr>
                <w:rFonts w:ascii="Calibri" w:hAnsi="Calibri" w:cs="Calibri"/>
                <w:kern w:val="24"/>
                <w:sz w:val="24"/>
                <w:szCs w:val="24"/>
              </w:rPr>
            </w:pPr>
          </w:p>
          <w:p w14:paraId="2DD64D40"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Now, if an owner of a multifamily premises fails to renew the greater of either:</w:t>
            </w:r>
          </w:p>
          <w:p w14:paraId="115E4D78" w14:textId="77777777" w:rsidR="00556985" w:rsidRDefault="00556985" w:rsidP="00556985">
            <w:pPr>
              <w:numPr>
                <w:ilvl w:val="0"/>
                <w:numId w:val="1"/>
              </w:numPr>
              <w:autoSpaceDE w:val="0"/>
              <w:autoSpaceDN w:val="0"/>
              <w:adjustRightInd w:val="0"/>
              <w:spacing w:after="0" w:line="240" w:lineRule="auto"/>
              <w:ind w:left="270" w:hanging="270"/>
              <w:rPr>
                <w:rFonts w:ascii="Calibri" w:hAnsi="Calibri" w:cs="Calibri"/>
                <w:kern w:val="24"/>
                <w:sz w:val="24"/>
                <w:szCs w:val="24"/>
              </w:rPr>
            </w:pPr>
            <w:r>
              <w:rPr>
                <w:rFonts w:ascii="Calibri" w:hAnsi="Calibri" w:cs="Calibri"/>
                <w:kern w:val="24"/>
                <w:sz w:val="24"/>
                <w:szCs w:val="24"/>
              </w:rPr>
              <w:t>20 or more month-to month OR</w:t>
            </w:r>
          </w:p>
          <w:p w14:paraId="69CEB76D" w14:textId="77777777" w:rsidR="00556985" w:rsidRDefault="00556985" w:rsidP="00556985">
            <w:pPr>
              <w:numPr>
                <w:ilvl w:val="0"/>
                <w:numId w:val="1"/>
              </w:numPr>
              <w:autoSpaceDE w:val="0"/>
              <w:autoSpaceDN w:val="0"/>
              <w:adjustRightInd w:val="0"/>
              <w:spacing w:after="0" w:line="240" w:lineRule="auto"/>
              <w:ind w:left="270" w:hanging="270"/>
              <w:rPr>
                <w:rFonts w:ascii="Calibri" w:hAnsi="Calibri" w:cs="Calibri"/>
                <w:kern w:val="24"/>
                <w:sz w:val="24"/>
                <w:szCs w:val="24"/>
              </w:rPr>
            </w:pPr>
            <w:r>
              <w:rPr>
                <w:rFonts w:ascii="Calibri" w:hAnsi="Calibri" w:cs="Calibri"/>
                <w:kern w:val="24"/>
                <w:sz w:val="24"/>
                <w:szCs w:val="24"/>
              </w:rPr>
              <w:t xml:space="preserve">50% of the month-to-month </w:t>
            </w:r>
          </w:p>
          <w:p w14:paraId="3A5FD1B3"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Tenancies within a consecutive 30-day period in the same </w:t>
            </w:r>
            <w:proofErr w:type="gramStart"/>
            <w:r>
              <w:rPr>
                <w:rFonts w:ascii="Calibri" w:hAnsi="Calibri" w:cs="Calibri"/>
                <w:kern w:val="24"/>
                <w:sz w:val="24"/>
                <w:szCs w:val="24"/>
              </w:rPr>
              <w:t>premises, they</w:t>
            </w:r>
            <w:proofErr w:type="gramEnd"/>
            <w:r>
              <w:rPr>
                <w:rFonts w:ascii="Calibri" w:hAnsi="Calibri" w:cs="Calibri"/>
                <w:kern w:val="24"/>
                <w:sz w:val="24"/>
                <w:szCs w:val="24"/>
              </w:rPr>
              <w:t xml:space="preserve"> must serve written notice on tenants at least 60 days prior to allowing the tenancy to expire.</w:t>
            </w:r>
          </w:p>
          <w:p w14:paraId="08FC9899" w14:textId="77777777" w:rsidR="00556985" w:rsidRDefault="00556985" w:rsidP="00556985">
            <w:pPr>
              <w:autoSpaceDE w:val="0"/>
              <w:autoSpaceDN w:val="0"/>
              <w:adjustRightInd w:val="0"/>
              <w:spacing w:after="0" w:line="240" w:lineRule="auto"/>
              <w:rPr>
                <w:rFonts w:ascii="Calibri" w:hAnsi="Calibri" w:cs="Calibri"/>
                <w:kern w:val="24"/>
                <w:sz w:val="24"/>
                <w:szCs w:val="24"/>
              </w:rPr>
            </w:pPr>
          </w:p>
          <w:p w14:paraId="5D76CD84"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This does not apply when the termination when the tenant has failed to pay rent.</w:t>
            </w:r>
          </w:p>
          <w:p w14:paraId="31B73A0A" w14:textId="77777777" w:rsidR="00556985" w:rsidRDefault="00556985" w:rsidP="00556985">
            <w:pPr>
              <w:autoSpaceDE w:val="0"/>
              <w:autoSpaceDN w:val="0"/>
              <w:adjustRightInd w:val="0"/>
              <w:spacing w:after="0" w:line="240" w:lineRule="auto"/>
              <w:rPr>
                <w:rFonts w:ascii="Calibri" w:hAnsi="Calibri" w:cs="Calibri"/>
                <w:kern w:val="24"/>
                <w:sz w:val="24"/>
                <w:szCs w:val="24"/>
              </w:rPr>
            </w:pPr>
          </w:p>
          <w:p w14:paraId="5D3A597D" w14:textId="77777777" w:rsidR="00556985" w:rsidRDefault="00556985" w:rsidP="00556985">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What does this mean? If you are going to terminate 20+ or more than ½ of the </w:t>
            </w:r>
            <w:proofErr w:type="gramStart"/>
            <w:r>
              <w:rPr>
                <w:rFonts w:ascii="Calibri" w:hAnsi="Calibri" w:cs="Calibri"/>
                <w:kern w:val="24"/>
                <w:sz w:val="24"/>
                <w:szCs w:val="24"/>
              </w:rPr>
              <w:t>month to month</w:t>
            </w:r>
            <w:proofErr w:type="gramEnd"/>
            <w:r>
              <w:rPr>
                <w:rFonts w:ascii="Calibri" w:hAnsi="Calibri" w:cs="Calibri"/>
                <w:kern w:val="24"/>
                <w:sz w:val="24"/>
                <w:szCs w:val="24"/>
              </w:rPr>
              <w:t xml:space="preserve"> leases in a community within a 30 day period, you would need to give those tenants extra notice to find somewhere to live so that the housing market isn’t flooded by a large number of tenants looking for housing all at once.</w:t>
            </w:r>
          </w:p>
          <w:p w14:paraId="2287F1AB" w14:textId="77777777" w:rsidR="00556985" w:rsidRDefault="00556985" w:rsidP="00556985">
            <w:pPr>
              <w:autoSpaceDE w:val="0"/>
              <w:autoSpaceDN w:val="0"/>
              <w:adjustRightInd w:val="0"/>
              <w:spacing w:after="0" w:line="240" w:lineRule="auto"/>
              <w:rPr>
                <w:rFonts w:ascii="Arial" w:hAnsi="Arial" w:cs="Arial"/>
                <w:kern w:val="0"/>
                <w:sz w:val="24"/>
                <w:szCs w:val="24"/>
              </w:rPr>
            </w:pPr>
          </w:p>
          <w:p w14:paraId="544EFE1E" w14:textId="77777777" w:rsidR="00556985" w:rsidRDefault="00556985"/>
        </w:tc>
      </w:tr>
      <w:tr w:rsidR="00556985" w14:paraId="33F9A1D4" w14:textId="77777777" w:rsidTr="00D86BFE">
        <w:tblPrEx>
          <w:tblCellMar>
            <w:top w:w="0" w:type="dxa"/>
            <w:bottom w:w="0" w:type="dxa"/>
          </w:tblCellMar>
        </w:tblPrEx>
        <w:trPr>
          <w:trHeight w:val="4000"/>
        </w:trPr>
        <w:tc>
          <w:tcPr>
            <w:tcW w:w="1368" w:type="dxa"/>
            <w:vAlign w:val="center"/>
          </w:tcPr>
          <w:p w14:paraId="0B19D2ED" w14:textId="77777777" w:rsidR="00556985" w:rsidRDefault="00556985">
            <w:r>
              <w:lastRenderedPageBreak/>
              <w:t>Slide 12</w:t>
            </w:r>
          </w:p>
        </w:tc>
        <w:tc>
          <w:tcPr>
            <w:tcW w:w="3996" w:type="dxa"/>
            <w:vAlign w:val="center"/>
          </w:tcPr>
          <w:p w14:paraId="78BD968D" w14:textId="2B729EEA" w:rsidR="00556985" w:rsidRDefault="00004DDB" w:rsidP="00D86BFE">
            <w:pPr>
              <w:jc w:val="center"/>
            </w:pPr>
            <w:r>
              <w:rPr>
                <w:noProof/>
              </w:rPr>
              <w:drawing>
                <wp:inline distT="0" distB="0" distL="0" distR="0" wp14:anchorId="0FF28D79" wp14:editId="37289897">
                  <wp:extent cx="2400300" cy="1350010"/>
                  <wp:effectExtent l="0" t="0" r="0" b="2540"/>
                  <wp:docPr id="121519500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00300" cy="1350010"/>
                          </a:xfrm>
                          <a:prstGeom prst="rect">
                            <a:avLst/>
                          </a:prstGeom>
                          <a:noFill/>
                          <a:ln>
                            <a:noFill/>
                          </a:ln>
                        </pic:spPr>
                      </pic:pic>
                    </a:graphicData>
                  </a:graphic>
                </wp:inline>
              </w:drawing>
            </w:r>
          </w:p>
        </w:tc>
        <w:tc>
          <w:tcPr>
            <w:tcW w:w="3996" w:type="dxa"/>
            <w:vAlign w:val="center"/>
          </w:tcPr>
          <w:p w14:paraId="1C4591DE" w14:textId="77777777" w:rsidR="00556985" w:rsidRDefault="00556985"/>
        </w:tc>
      </w:tr>
    </w:tbl>
    <w:p w14:paraId="0AC213FE" w14:textId="77777777" w:rsidR="00FE0B92" w:rsidRDefault="00FE0B92"/>
    <w:sectPr w:rsidR="00FE0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1307B70"/>
    <w:lvl w:ilvl="0">
      <w:numFmt w:val="bullet"/>
      <w:lvlText w:val="*"/>
      <w:lvlJc w:val="left"/>
    </w:lvl>
  </w:abstractNum>
  <w:num w:numId="1" w16cid:durableId="2116439983">
    <w:abstractNumId w:val="0"/>
    <w:lvlOverride w:ilvl="0">
      <w:lvl w:ilvl="0">
        <w:numFmt w:val="bullet"/>
        <w:lvlText w:val="•"/>
        <w:legacy w:legacy="1" w:legacySpace="0" w:legacyIndent="0"/>
        <w:lvlJc w:val="left"/>
        <w:rPr>
          <w:rFonts w:ascii="Arial" w:hAnsi="Arial" w:cs="Arial" w:hint="default"/>
          <w:sz w:val="24"/>
        </w:rPr>
      </w:lvl>
    </w:lvlOverride>
  </w:num>
  <w:num w:numId="2" w16cid:durableId="362707624">
    <w:abstractNumId w:val="0"/>
    <w:lvlOverride w:ilvl="0">
      <w:lvl w:ilvl="0">
        <w:numFmt w:val="bullet"/>
        <w:lvlText w:val="•"/>
        <w:legacy w:legacy="1" w:legacySpace="0" w:legacyIndent="0"/>
        <w:lvlJc w:val="left"/>
        <w:rPr>
          <w:rFonts w:ascii="Calibri" w:hAnsi="Calibri" w:cs="Calibri" w:hint="default"/>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85"/>
    <w:rsid w:val="00004DDB"/>
    <w:rsid w:val="000759E2"/>
    <w:rsid w:val="004B55E0"/>
    <w:rsid w:val="00556985"/>
    <w:rsid w:val="006724C2"/>
    <w:rsid w:val="00A62921"/>
    <w:rsid w:val="00CA1C8C"/>
    <w:rsid w:val="00D86BFE"/>
    <w:rsid w:val="00E10380"/>
    <w:rsid w:val="00E36936"/>
    <w:rsid w:val="00E655E5"/>
    <w:rsid w:val="00FE0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1FA1"/>
  <w15:chartTrackingRefBased/>
  <w15:docId w15:val="{71CB822D-B817-4235-99F4-C8B673A8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7025548F6494E8C1ABF7D2740F2F5" ma:contentTypeVersion="15" ma:contentTypeDescription="Create a new document." ma:contentTypeScope="" ma:versionID="5ec63cf76c63be4c4060dde4fd5b70fe">
  <xsd:schema xmlns:xsd="http://www.w3.org/2001/XMLSchema" xmlns:xs="http://www.w3.org/2001/XMLSchema" xmlns:p="http://schemas.microsoft.com/office/2006/metadata/properties" xmlns:ns2="ba630d7b-8c89-47ad-91ac-97942cba60d1" xmlns:ns3="0207266a-8549-4d12-87c7-6d3d79637e47" targetNamespace="http://schemas.microsoft.com/office/2006/metadata/properties" ma:root="true" ma:fieldsID="c1655f07aff125d8ea5b8a8ee62677f2" ns2:_="" ns3:_="">
    <xsd:import namespace="ba630d7b-8c89-47ad-91ac-97942cba60d1"/>
    <xsd:import namespace="0207266a-8549-4d12-87c7-6d3d79637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30d7b-8c89-47ad-91ac-97942cba6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ee32d4-85ac-40c2-9e8e-56c60904338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07266a-8549-4d12-87c7-6d3d79637e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5bc54e-6852-432d-a8bf-2ccd59860851}" ma:internalName="TaxCatchAll" ma:showField="CatchAllData" ma:web="0207266a-8549-4d12-87c7-6d3d79637e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630d7b-8c89-47ad-91ac-97942cba60d1">
      <Terms xmlns="http://schemas.microsoft.com/office/infopath/2007/PartnerControls"/>
    </lcf76f155ced4ddcb4097134ff3c332f>
    <TaxCatchAll xmlns="0207266a-8549-4d12-87c7-6d3d79637e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75598-A490-4EB0-96A0-B74E4AB7D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30d7b-8c89-47ad-91ac-97942cba60d1"/>
    <ds:schemaRef ds:uri="0207266a-8549-4d12-87c7-6d3d79637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7ED55-B94B-463B-A92A-68C053966897}">
  <ds:schemaRefs>
    <ds:schemaRef ds:uri="http://schemas.microsoft.com/sharepoint/v3/contenttype/forms"/>
  </ds:schemaRefs>
</ds:datastoreItem>
</file>

<file path=customXml/itemProps3.xml><?xml version="1.0" encoding="utf-8"?>
<ds:datastoreItem xmlns:ds="http://schemas.openxmlformats.org/officeDocument/2006/customXml" ds:itemID="{9F5803CC-9E49-4322-86B2-0C41608387CE}">
  <ds:schemaRefs>
    <ds:schemaRef ds:uri="http://schemas.openxmlformats.org/package/2006/metadata/core-properties"/>
    <ds:schemaRef ds:uri="http://purl.org/dc/dcmitype/"/>
    <ds:schemaRef ds:uri="http://schemas.microsoft.com/office/infopath/2007/PartnerControls"/>
    <ds:schemaRef ds:uri="ba630d7b-8c89-47ad-91ac-97942cba60d1"/>
    <ds:schemaRef ds:uri="http://schemas.microsoft.com/office/2006/documentManagement/types"/>
    <ds:schemaRef ds:uri="http://purl.org/dc/elements/1.1/"/>
    <ds:schemaRef ds:uri="http://schemas.microsoft.com/office/2006/metadata/properties"/>
    <ds:schemaRef ds:uri="http://purl.org/dc/terms/"/>
    <ds:schemaRef ds:uri="0207266a-8549-4d12-87c7-6d3d79637e47"/>
    <ds:schemaRef ds:uri="http://www.w3.org/XML/1998/namespace"/>
  </ds:schemaRefs>
</ds:datastoreItem>
</file>

<file path=customXml/itemProps4.xml><?xml version="1.0" encoding="utf-8"?>
<ds:datastoreItem xmlns:ds="http://schemas.openxmlformats.org/officeDocument/2006/customXml" ds:itemID="{98A6340F-B387-412E-B0BB-323B93AF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1101</Words>
  <Characters>6278</Characters>
  <Application>Microsoft Office Word</Application>
  <DocSecurity>0</DocSecurity>
  <Lines>52</Lines>
  <Paragraphs>14</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Haley</dc:creator>
  <cp:keywords/>
  <dc:description/>
  <cp:lastModifiedBy>Jon Haley</cp:lastModifiedBy>
  <cp:revision>8</cp:revision>
  <cp:lastPrinted>2023-06-08T18:12:00Z</cp:lastPrinted>
  <dcterms:created xsi:type="dcterms:W3CDTF">2023-06-08T18:08:00Z</dcterms:created>
  <dcterms:modified xsi:type="dcterms:W3CDTF">2023-06-08T18:19:00Z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0x010100DFE7025548F6494E8C1ABF7D2740F2F5</vt:lpwstr>
  </property>
  <property fmtid="{D5CDD505-2E9C-101B-9397-08002B2CF9AE}" pid="3" name="MediaServiceImageTags">
    <vt:lpwstr/>
  </property>
</Properties>
</file>