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8D6684" w14:paraId="1021FF66" w14:textId="77777777" w:rsidTr="008D6684">
        <w:trPr>
          <w:trHeight w:val="4000"/>
        </w:trPr>
        <w:tc>
          <w:tcPr>
            <w:tcW w:w="1368" w:type="dxa"/>
          </w:tcPr>
          <w:p w14:paraId="48DC0E64" w14:textId="45C8FA84" w:rsidR="008D6684" w:rsidRDefault="008D6684">
            <w:r>
              <w:t>Slide 1</w:t>
            </w:r>
          </w:p>
        </w:tc>
        <w:tc>
          <w:tcPr>
            <w:tcW w:w="3996" w:type="dxa"/>
          </w:tcPr>
          <w:p w14:paraId="3D20FE27" w14:textId="58D575D1" w:rsidR="008D6684" w:rsidRDefault="009C3E88">
            <w:r>
              <w:rPr>
                <w:noProof/>
              </w:rPr>
              <w:drawing>
                <wp:inline distT="0" distB="0" distL="0" distR="0" wp14:anchorId="1015B4C9" wp14:editId="1A433B33">
                  <wp:extent cx="2400300" cy="1800225"/>
                  <wp:effectExtent l="0" t="0" r="0" b="317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55C80DD"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Instructor: Introduction</w:t>
            </w:r>
          </w:p>
          <w:p w14:paraId="38C86B16" w14:textId="77777777" w:rsidR="008D6684" w:rsidRDefault="008D6684" w:rsidP="008D6684">
            <w:pPr>
              <w:autoSpaceDE w:val="0"/>
              <w:autoSpaceDN w:val="0"/>
              <w:adjustRightInd w:val="0"/>
              <w:spacing w:after="0" w:line="240" w:lineRule="auto"/>
              <w:rPr>
                <w:rFonts w:ascii="Arial" w:hAnsi="Arial" w:cs="Arial"/>
                <w:sz w:val="24"/>
                <w:szCs w:val="24"/>
              </w:rPr>
            </w:pPr>
          </w:p>
          <w:p w14:paraId="35C2E041" w14:textId="77777777" w:rsidR="008D6684" w:rsidRDefault="008D6684"/>
        </w:tc>
      </w:tr>
      <w:tr w:rsidR="008D6684" w14:paraId="2A812018" w14:textId="77777777" w:rsidTr="008D6684">
        <w:trPr>
          <w:trHeight w:val="4000"/>
        </w:trPr>
        <w:tc>
          <w:tcPr>
            <w:tcW w:w="1368" w:type="dxa"/>
          </w:tcPr>
          <w:p w14:paraId="5B05B958" w14:textId="5DA45812" w:rsidR="008D6684" w:rsidRDefault="008D6684">
            <w:r>
              <w:t>Slide 2</w:t>
            </w:r>
          </w:p>
        </w:tc>
        <w:tc>
          <w:tcPr>
            <w:tcW w:w="3996" w:type="dxa"/>
          </w:tcPr>
          <w:p w14:paraId="05A44482" w14:textId="07928741" w:rsidR="008D6684" w:rsidRDefault="009C3E88">
            <w:r>
              <w:rPr>
                <w:noProof/>
              </w:rPr>
              <w:drawing>
                <wp:inline distT="0" distB="0" distL="0" distR="0" wp14:anchorId="1B5B725A" wp14:editId="77FE4269">
                  <wp:extent cx="2400300" cy="1800225"/>
                  <wp:effectExtent l="0" t="0" r="0" b="3175"/>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4B4E2F19"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Instructor: </w:t>
            </w:r>
          </w:p>
          <w:p w14:paraId="1171A422"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4FB25BDB"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087AC08C" w14:textId="77777777" w:rsidR="008D6684" w:rsidRDefault="008D6684" w:rsidP="008D6684">
            <w:pPr>
              <w:autoSpaceDE w:val="0"/>
              <w:autoSpaceDN w:val="0"/>
              <w:adjustRightInd w:val="0"/>
              <w:spacing w:after="0" w:line="240" w:lineRule="auto"/>
              <w:rPr>
                <w:rFonts w:ascii="Arial" w:hAnsi="Arial" w:cs="Arial"/>
                <w:sz w:val="24"/>
                <w:szCs w:val="24"/>
              </w:rPr>
            </w:pPr>
          </w:p>
          <w:p w14:paraId="09E4D30C" w14:textId="77777777" w:rsidR="008D6684" w:rsidRDefault="008D6684"/>
        </w:tc>
      </w:tr>
      <w:tr w:rsidR="008D6684" w14:paraId="116D36C8" w14:textId="77777777" w:rsidTr="008D6684">
        <w:trPr>
          <w:trHeight w:val="4000"/>
        </w:trPr>
        <w:tc>
          <w:tcPr>
            <w:tcW w:w="1368" w:type="dxa"/>
          </w:tcPr>
          <w:p w14:paraId="3703BE7D" w14:textId="799B2174" w:rsidR="008D6684" w:rsidRDefault="008D6684">
            <w:r>
              <w:t>Slide 3</w:t>
            </w:r>
          </w:p>
        </w:tc>
        <w:tc>
          <w:tcPr>
            <w:tcW w:w="3996" w:type="dxa"/>
          </w:tcPr>
          <w:p w14:paraId="25AF9ACD" w14:textId="2B1C7DEC" w:rsidR="008D6684" w:rsidRDefault="009C3E88">
            <w:r>
              <w:rPr>
                <w:noProof/>
              </w:rPr>
              <w:drawing>
                <wp:inline distT="0" distB="0" distL="0" distR="0" wp14:anchorId="7F17861F" wp14:editId="26FEE752">
                  <wp:extent cx="2400300" cy="1800225"/>
                  <wp:effectExtent l="0" t="0" r="0" b="317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00A0C297"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New law adds a minimum of two hours of Fair Housing or Appraisal Bias Courses for Appraisers. </w:t>
            </w:r>
          </w:p>
          <w:p w14:paraId="3255C39E"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1F3E570C" w14:textId="77777777" w:rsidR="008D6684" w:rsidRDefault="008D6684" w:rsidP="008D6684">
            <w:pPr>
              <w:autoSpaceDE w:val="0"/>
              <w:autoSpaceDN w:val="0"/>
              <w:adjustRightInd w:val="0"/>
              <w:spacing w:after="0" w:line="240" w:lineRule="auto"/>
              <w:rPr>
                <w:rFonts w:ascii="Arial" w:hAnsi="Arial" w:cs="Arial"/>
                <w:sz w:val="24"/>
                <w:szCs w:val="24"/>
              </w:rPr>
            </w:pPr>
          </w:p>
          <w:p w14:paraId="5CD278B2" w14:textId="77777777" w:rsidR="008D6684" w:rsidRDefault="008D6684"/>
        </w:tc>
      </w:tr>
      <w:tr w:rsidR="008D6684" w14:paraId="0624F5E0" w14:textId="77777777" w:rsidTr="008D6684">
        <w:trPr>
          <w:trHeight w:val="4000"/>
        </w:trPr>
        <w:tc>
          <w:tcPr>
            <w:tcW w:w="1368" w:type="dxa"/>
          </w:tcPr>
          <w:p w14:paraId="1CCA8262" w14:textId="3612A767" w:rsidR="008D6684" w:rsidRDefault="008D6684">
            <w:r>
              <w:lastRenderedPageBreak/>
              <w:t>Slide 4</w:t>
            </w:r>
          </w:p>
        </w:tc>
        <w:tc>
          <w:tcPr>
            <w:tcW w:w="3996" w:type="dxa"/>
          </w:tcPr>
          <w:p w14:paraId="1FF89B82" w14:textId="332B94ED" w:rsidR="008D6684" w:rsidRDefault="009C3E88">
            <w:r>
              <w:rPr>
                <w:noProof/>
              </w:rPr>
              <w:drawing>
                <wp:inline distT="0" distB="0" distL="0" distR="0" wp14:anchorId="29FD1DAB" wp14:editId="6B2F8FF4">
                  <wp:extent cx="2400300" cy="1800225"/>
                  <wp:effectExtent l="0" t="0" r="0" b="317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7CDFD3F"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There is a very important change to the law coming on January 1</w:t>
            </w:r>
            <w:r>
              <w:rPr>
                <w:rFonts w:ascii="Calibri" w:hAnsi="Calibri" w:cs="Calibri"/>
                <w:kern w:val="24"/>
                <w:sz w:val="24"/>
                <w:szCs w:val="24"/>
                <w:vertAlign w:val="superscript"/>
              </w:rPr>
              <w:t>st</w:t>
            </w:r>
            <w:proofErr w:type="gramStart"/>
            <w:r>
              <w:rPr>
                <w:rFonts w:ascii="Calibri" w:hAnsi="Calibri" w:cs="Calibri"/>
                <w:kern w:val="24"/>
                <w:sz w:val="24"/>
                <w:szCs w:val="24"/>
              </w:rPr>
              <w:t xml:space="preserve"> 2023</w:t>
            </w:r>
            <w:proofErr w:type="gramEnd"/>
            <w:r>
              <w:rPr>
                <w:rFonts w:ascii="Calibri" w:hAnsi="Calibri" w:cs="Calibri"/>
                <w:kern w:val="24"/>
                <w:sz w:val="24"/>
                <w:szCs w:val="24"/>
              </w:rPr>
              <w:t xml:space="preserve"> that hopefully will not impact you. </w:t>
            </w:r>
          </w:p>
          <w:p w14:paraId="74793BF7"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69FE6A04"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current law as of the time of this recording has a list of 5 categories that DPOR must go through in order, in the tragic event of the death or disability of a real estate broker. The first change to the law is the addition of paragraphs A and modification of B. If you are a sole proprietorship or the only licensed broker in a firm, you must designate another Broker to conclude your business if you are unable to by death or disability. </w:t>
            </w:r>
          </w:p>
          <w:p w14:paraId="6035FBE2"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120D048A"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DPOR has already been sending out letters to Brokers to designate another licensed Broker to wind down the business. Per the letter and the statute, this is ONLY necessary if you are a sole proprietorship or the only licensed broker in a FIRM. The letter which has been sent out requires you to return this to DPOR by December 31</w:t>
            </w:r>
            <w:r>
              <w:rPr>
                <w:rFonts w:ascii="Calibri" w:hAnsi="Calibri" w:cs="Calibri"/>
                <w:kern w:val="24"/>
                <w:sz w:val="24"/>
                <w:szCs w:val="24"/>
                <w:vertAlign w:val="superscript"/>
              </w:rPr>
              <w:t>st</w:t>
            </w:r>
            <w:r>
              <w:rPr>
                <w:rFonts w:ascii="Calibri" w:hAnsi="Calibri" w:cs="Calibri"/>
                <w:kern w:val="24"/>
                <w:sz w:val="24"/>
                <w:szCs w:val="24"/>
              </w:rPr>
              <w:t>, 2022. In the future, on January 1</w:t>
            </w:r>
            <w:r>
              <w:rPr>
                <w:rFonts w:ascii="Calibri" w:hAnsi="Calibri" w:cs="Calibri"/>
                <w:kern w:val="24"/>
                <w:sz w:val="24"/>
                <w:szCs w:val="24"/>
                <w:vertAlign w:val="superscript"/>
              </w:rPr>
              <w:t>st</w:t>
            </w:r>
            <w:proofErr w:type="gramStart"/>
            <w:r>
              <w:rPr>
                <w:rFonts w:ascii="Calibri" w:hAnsi="Calibri" w:cs="Calibri"/>
                <w:kern w:val="24"/>
                <w:sz w:val="24"/>
                <w:szCs w:val="24"/>
              </w:rPr>
              <w:t xml:space="preserve"> 2023</w:t>
            </w:r>
            <w:proofErr w:type="gramEnd"/>
            <w:r>
              <w:rPr>
                <w:rFonts w:ascii="Calibri" w:hAnsi="Calibri" w:cs="Calibri"/>
                <w:kern w:val="24"/>
                <w:sz w:val="24"/>
                <w:szCs w:val="24"/>
              </w:rPr>
              <w:t xml:space="preserve"> this form will be available on DPORs website. So, if you are watching this later and need the form it will be available there. </w:t>
            </w:r>
          </w:p>
          <w:p w14:paraId="1873EA24"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31EA2FE9"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for some reason the </w:t>
            </w:r>
            <w:proofErr w:type="gramStart"/>
            <w:r>
              <w:rPr>
                <w:rFonts w:ascii="Calibri" w:hAnsi="Calibri" w:cs="Calibri"/>
                <w:kern w:val="24"/>
                <w:sz w:val="24"/>
                <w:szCs w:val="24"/>
              </w:rPr>
              <w:t>Broker</w:t>
            </w:r>
            <w:proofErr w:type="gramEnd"/>
            <w:r>
              <w:rPr>
                <w:rFonts w:ascii="Calibri" w:hAnsi="Calibri" w:cs="Calibri"/>
                <w:kern w:val="24"/>
                <w:sz w:val="24"/>
                <w:szCs w:val="24"/>
              </w:rPr>
              <w:t xml:space="preserve"> you designated is unable or unwilling to perform will then grant approval to one of the individuals in the 5 list category. </w:t>
            </w:r>
          </w:p>
          <w:p w14:paraId="003CC667"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36941F35"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6B7DFA29"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5AF2F12D" w14:textId="77777777" w:rsidR="008D6684" w:rsidRDefault="008D6684" w:rsidP="008D6684">
            <w:pPr>
              <w:autoSpaceDE w:val="0"/>
              <w:autoSpaceDN w:val="0"/>
              <w:adjustRightInd w:val="0"/>
              <w:spacing w:after="0" w:line="240" w:lineRule="auto"/>
              <w:rPr>
                <w:rFonts w:ascii="Arial" w:hAnsi="Arial" w:cs="Arial"/>
                <w:sz w:val="24"/>
                <w:szCs w:val="24"/>
              </w:rPr>
            </w:pPr>
          </w:p>
          <w:p w14:paraId="1F727CA8" w14:textId="77777777" w:rsidR="008D6684" w:rsidRDefault="008D6684"/>
        </w:tc>
      </w:tr>
      <w:tr w:rsidR="008D6684" w14:paraId="37038630" w14:textId="77777777" w:rsidTr="008D6684">
        <w:trPr>
          <w:trHeight w:val="4000"/>
        </w:trPr>
        <w:tc>
          <w:tcPr>
            <w:tcW w:w="1368" w:type="dxa"/>
          </w:tcPr>
          <w:p w14:paraId="163C8D23" w14:textId="65BEB054" w:rsidR="008D6684" w:rsidRDefault="008D6684">
            <w:r>
              <w:lastRenderedPageBreak/>
              <w:t>Slide 5</w:t>
            </w:r>
          </w:p>
        </w:tc>
        <w:tc>
          <w:tcPr>
            <w:tcW w:w="3996" w:type="dxa"/>
          </w:tcPr>
          <w:p w14:paraId="2BFF408C" w14:textId="5B8A2FF7" w:rsidR="008D6684" w:rsidRDefault="009C3E88">
            <w:r>
              <w:rPr>
                <w:noProof/>
              </w:rPr>
              <w:drawing>
                <wp:inline distT="0" distB="0" distL="0" distR="0" wp14:anchorId="5F5F0C4B" wp14:editId="5766DFA7">
                  <wp:extent cx="2400300" cy="1800225"/>
                  <wp:effectExtent l="0" t="0" r="0" b="317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0CDB1BBD"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The list should look familiar because it is the same list as before. But please note from the previous slide that DPOR does NOT have to go in order. Therefore, they can grant approval to any individual in the 5 categories in any order. As you can see, category number 5 is very likely to be the most desirable one for the conclusion of the business. </w:t>
            </w:r>
          </w:p>
          <w:p w14:paraId="4CC3EBFD" w14:textId="77777777" w:rsidR="008D6684" w:rsidRDefault="008D6684" w:rsidP="008D6684">
            <w:pPr>
              <w:autoSpaceDE w:val="0"/>
              <w:autoSpaceDN w:val="0"/>
              <w:adjustRightInd w:val="0"/>
              <w:spacing w:after="0" w:line="240" w:lineRule="auto"/>
              <w:rPr>
                <w:rFonts w:ascii="Arial" w:hAnsi="Arial" w:cs="Arial"/>
                <w:sz w:val="24"/>
                <w:szCs w:val="24"/>
              </w:rPr>
            </w:pPr>
          </w:p>
          <w:p w14:paraId="7A5C039D" w14:textId="77777777" w:rsidR="008D6684" w:rsidRDefault="008D6684"/>
        </w:tc>
      </w:tr>
      <w:tr w:rsidR="008D6684" w14:paraId="31151CCF" w14:textId="77777777" w:rsidTr="008D6684">
        <w:trPr>
          <w:trHeight w:val="4000"/>
        </w:trPr>
        <w:tc>
          <w:tcPr>
            <w:tcW w:w="1368" w:type="dxa"/>
          </w:tcPr>
          <w:p w14:paraId="5E18A308" w14:textId="313DAE21" w:rsidR="008D6684" w:rsidRDefault="008D6684">
            <w:r>
              <w:t>Slide 6</w:t>
            </w:r>
          </w:p>
        </w:tc>
        <w:tc>
          <w:tcPr>
            <w:tcW w:w="3996" w:type="dxa"/>
          </w:tcPr>
          <w:p w14:paraId="72334D69" w14:textId="37C403DE" w:rsidR="008D6684" w:rsidRDefault="009C3E88">
            <w:r>
              <w:rPr>
                <w:noProof/>
              </w:rPr>
              <w:drawing>
                <wp:inline distT="0" distB="0" distL="0" distR="0" wp14:anchorId="75D530FD" wp14:editId="037076ED">
                  <wp:extent cx="2400300" cy="1800225"/>
                  <wp:effectExtent l="0" t="0" r="0" b="317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1CAF6164"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w:t>
            </w:r>
            <w:proofErr w:type="gramStart"/>
            <w:r>
              <w:rPr>
                <w:rFonts w:ascii="Calibri" w:hAnsi="Calibri" w:cs="Calibri"/>
                <w:kern w:val="24"/>
                <w:sz w:val="24"/>
                <w:szCs w:val="24"/>
              </w:rPr>
              <w:t>Last but not least</w:t>
            </w:r>
            <w:proofErr w:type="gramEnd"/>
            <w:r>
              <w:rPr>
                <w:rFonts w:ascii="Calibri" w:hAnsi="Calibri" w:cs="Calibri"/>
                <w:kern w:val="24"/>
                <w:sz w:val="24"/>
                <w:szCs w:val="24"/>
              </w:rPr>
              <w:t xml:space="preserve">. This may seem familiar to the old statute but there are some significant changes. DPOR will appoint another licensed Broker with their consent if they cannot find anyone suitable or available in the categorical list. The statute is now explicit that it will be another licensed Broker, not just a suitable individual </w:t>
            </w:r>
          </w:p>
          <w:p w14:paraId="0F37F8CC" w14:textId="77777777" w:rsidR="008D6684" w:rsidRDefault="008D6684" w:rsidP="008D6684">
            <w:pPr>
              <w:autoSpaceDE w:val="0"/>
              <w:autoSpaceDN w:val="0"/>
              <w:adjustRightInd w:val="0"/>
              <w:spacing w:after="0" w:line="240" w:lineRule="auto"/>
              <w:rPr>
                <w:rFonts w:ascii="Arial" w:hAnsi="Arial" w:cs="Arial"/>
                <w:sz w:val="24"/>
                <w:szCs w:val="24"/>
              </w:rPr>
            </w:pPr>
          </w:p>
          <w:p w14:paraId="352D9760" w14:textId="77777777" w:rsidR="008D6684" w:rsidRDefault="008D6684"/>
        </w:tc>
      </w:tr>
      <w:tr w:rsidR="008D6684" w14:paraId="33FD883E" w14:textId="77777777" w:rsidTr="008D6684">
        <w:trPr>
          <w:trHeight w:val="4000"/>
        </w:trPr>
        <w:tc>
          <w:tcPr>
            <w:tcW w:w="1368" w:type="dxa"/>
          </w:tcPr>
          <w:p w14:paraId="79EF3202" w14:textId="7CB1C34E" w:rsidR="008D6684" w:rsidRDefault="008D6684">
            <w:r>
              <w:t>Slide 7</w:t>
            </w:r>
          </w:p>
        </w:tc>
        <w:tc>
          <w:tcPr>
            <w:tcW w:w="3996" w:type="dxa"/>
          </w:tcPr>
          <w:p w14:paraId="685E7EB8" w14:textId="3CB61808" w:rsidR="008D6684" w:rsidRDefault="009C3E88">
            <w:r>
              <w:rPr>
                <w:noProof/>
              </w:rPr>
              <w:drawing>
                <wp:inline distT="0" distB="0" distL="0" distR="0" wp14:anchorId="30C4D156" wp14:editId="7FBE88D8">
                  <wp:extent cx="2400300" cy="1800225"/>
                  <wp:effectExtent l="0" t="0" r="0" b="3175"/>
                  <wp:docPr id="28" name="Picture 2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5B0CBC40"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Montserrat" w:hAnsi="Montserrat" w:cs="Montserrat"/>
                <w:color w:val="333333"/>
                <w:kern w:val="24"/>
                <w:sz w:val="24"/>
                <w:szCs w:val="24"/>
              </w:rPr>
              <w:t xml:space="preserve">Definition of “real estate professional.” Section 1 of the manual has been amended to define “Real Estate Professional” as an individual engaged in the disciplines of real estate specified under Article 11 of the Code of Ethics. Those disciplines include residential real estate brokerage, real property management, commercial and industrial real estate brokerage, land brokerage, real estate appraisal, real estate </w:t>
            </w:r>
            <w:r>
              <w:rPr>
                <w:rFonts w:ascii="Montserrat" w:hAnsi="Montserrat" w:cs="Montserrat"/>
                <w:color w:val="333333"/>
                <w:kern w:val="24"/>
                <w:sz w:val="24"/>
                <w:szCs w:val="24"/>
              </w:rPr>
              <w:lastRenderedPageBreak/>
              <w:t>counseling, real estate syndication, real estate auction, and international real estate.</w:t>
            </w:r>
          </w:p>
          <w:p w14:paraId="129EBE84" w14:textId="77777777" w:rsidR="008D6684" w:rsidRDefault="008D6684" w:rsidP="008D6684">
            <w:pPr>
              <w:autoSpaceDE w:val="0"/>
              <w:autoSpaceDN w:val="0"/>
              <w:adjustRightInd w:val="0"/>
              <w:spacing w:after="0" w:line="240" w:lineRule="auto"/>
              <w:rPr>
                <w:rFonts w:ascii="Arial" w:hAnsi="Arial" w:cs="Arial"/>
                <w:sz w:val="24"/>
                <w:szCs w:val="24"/>
              </w:rPr>
            </w:pPr>
          </w:p>
          <w:p w14:paraId="0C304CC3" w14:textId="77777777" w:rsidR="008D6684" w:rsidRDefault="008D6684"/>
        </w:tc>
      </w:tr>
      <w:tr w:rsidR="008D6684" w14:paraId="31072E73" w14:textId="77777777" w:rsidTr="008D6684">
        <w:trPr>
          <w:trHeight w:val="4000"/>
        </w:trPr>
        <w:tc>
          <w:tcPr>
            <w:tcW w:w="1368" w:type="dxa"/>
          </w:tcPr>
          <w:p w14:paraId="028CFFCB" w14:textId="162BF60F" w:rsidR="008D6684" w:rsidRDefault="008D6684">
            <w:r>
              <w:lastRenderedPageBreak/>
              <w:t>Slide 8</w:t>
            </w:r>
          </w:p>
        </w:tc>
        <w:tc>
          <w:tcPr>
            <w:tcW w:w="3996" w:type="dxa"/>
          </w:tcPr>
          <w:p w14:paraId="763DB2A2" w14:textId="65B6FDCE" w:rsidR="008D6684" w:rsidRDefault="009C3E88">
            <w:r>
              <w:rPr>
                <w:noProof/>
              </w:rPr>
              <w:drawing>
                <wp:inline distT="0" distB="0" distL="0" distR="0" wp14:anchorId="3833B335" wp14:editId="1BACC449">
                  <wp:extent cx="2400300" cy="1800225"/>
                  <wp:effectExtent l="0" t="0" r="0" b="3175"/>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4261A67"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Verdana" w:hAnsi="Verdana" w:cs="Verdana"/>
                <w:color w:val="333333"/>
                <w:kern w:val="24"/>
                <w:sz w:val="24"/>
                <w:szCs w:val="24"/>
              </w:rPr>
              <w:t>Article 10 is changing the word handicap to disability for inclusivity.</w:t>
            </w:r>
          </w:p>
          <w:p w14:paraId="34CFA887" w14:textId="77777777" w:rsidR="008D6684" w:rsidRDefault="008D6684" w:rsidP="008D6684">
            <w:pPr>
              <w:autoSpaceDE w:val="0"/>
              <w:autoSpaceDN w:val="0"/>
              <w:adjustRightInd w:val="0"/>
              <w:spacing w:after="0" w:line="240" w:lineRule="auto"/>
              <w:rPr>
                <w:rFonts w:ascii="Arial" w:hAnsi="Arial" w:cs="Arial"/>
                <w:sz w:val="24"/>
                <w:szCs w:val="24"/>
              </w:rPr>
            </w:pPr>
          </w:p>
          <w:p w14:paraId="37FAF148" w14:textId="77777777" w:rsidR="008D6684" w:rsidRDefault="008D6684"/>
        </w:tc>
      </w:tr>
      <w:tr w:rsidR="008D6684" w14:paraId="29F99ED5" w14:textId="77777777" w:rsidTr="008D6684">
        <w:trPr>
          <w:trHeight w:val="4000"/>
        </w:trPr>
        <w:tc>
          <w:tcPr>
            <w:tcW w:w="1368" w:type="dxa"/>
          </w:tcPr>
          <w:p w14:paraId="0650EB7D" w14:textId="209648F6" w:rsidR="008D6684" w:rsidRDefault="008D6684">
            <w:r>
              <w:t>Slide 9</w:t>
            </w:r>
          </w:p>
        </w:tc>
        <w:tc>
          <w:tcPr>
            <w:tcW w:w="3996" w:type="dxa"/>
          </w:tcPr>
          <w:p w14:paraId="6966DE85" w14:textId="0CE4E39B" w:rsidR="008D6684" w:rsidRDefault="009C3E88">
            <w:r>
              <w:rPr>
                <w:noProof/>
              </w:rPr>
              <w:drawing>
                <wp:inline distT="0" distB="0" distL="0" distR="0" wp14:anchorId="43FC7711" wp14:editId="418815B5">
                  <wp:extent cx="2400300" cy="1800225"/>
                  <wp:effectExtent l="0" t="0" r="0" b="3175"/>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951B5F4"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Times New Roman" w:hAnsi="Times New Roman" w:cs="Times New Roman"/>
                <w:color w:val="FFFFFF"/>
                <w:kern w:val="24"/>
                <w:sz w:val="24"/>
                <w:szCs w:val="24"/>
              </w:rPr>
              <w:t xml:space="preserve">SOP 3-9 is also changing to "Realtors shall not provide access to listed property on terms other than those established by the owner or </w:t>
            </w:r>
            <w:r>
              <w:rPr>
                <w:rFonts w:ascii="Times New Roman" w:hAnsi="Times New Roman" w:cs="Times New Roman"/>
                <w:b/>
                <w:bCs/>
                <w:color w:val="FFFFFF"/>
                <w:kern w:val="24"/>
                <w:sz w:val="24"/>
                <w:szCs w:val="24"/>
              </w:rPr>
              <w:t>seller</w:t>
            </w:r>
            <w:r>
              <w:rPr>
                <w:rFonts w:ascii="Times New Roman" w:hAnsi="Times New Roman" w:cs="Times New Roman"/>
                <w:color w:val="FFFFFF"/>
                <w:kern w:val="24"/>
                <w:sz w:val="24"/>
                <w:szCs w:val="24"/>
              </w:rPr>
              <w:t>.”</w:t>
            </w:r>
          </w:p>
          <w:p w14:paraId="0EBE1E4C" w14:textId="77777777" w:rsidR="008D6684" w:rsidRDefault="008D6684" w:rsidP="008D6684">
            <w:pPr>
              <w:autoSpaceDE w:val="0"/>
              <w:autoSpaceDN w:val="0"/>
              <w:adjustRightInd w:val="0"/>
              <w:spacing w:after="0" w:line="240" w:lineRule="auto"/>
              <w:rPr>
                <w:rFonts w:ascii="Arial" w:hAnsi="Arial" w:cs="Arial"/>
                <w:sz w:val="24"/>
                <w:szCs w:val="24"/>
              </w:rPr>
            </w:pPr>
          </w:p>
          <w:p w14:paraId="2A73726E" w14:textId="77777777" w:rsidR="008D6684" w:rsidRDefault="008D6684"/>
        </w:tc>
      </w:tr>
      <w:tr w:rsidR="008D6684" w14:paraId="360DA973" w14:textId="77777777" w:rsidTr="008D6684">
        <w:trPr>
          <w:trHeight w:val="4000"/>
        </w:trPr>
        <w:tc>
          <w:tcPr>
            <w:tcW w:w="1368" w:type="dxa"/>
          </w:tcPr>
          <w:p w14:paraId="12716B7C" w14:textId="4E127026" w:rsidR="008D6684" w:rsidRDefault="008D6684">
            <w:r>
              <w:lastRenderedPageBreak/>
              <w:t>Slide 10</w:t>
            </w:r>
          </w:p>
        </w:tc>
        <w:tc>
          <w:tcPr>
            <w:tcW w:w="3996" w:type="dxa"/>
          </w:tcPr>
          <w:p w14:paraId="2435323D" w14:textId="70F74A68" w:rsidR="008D6684" w:rsidRDefault="009850C0">
            <w:r>
              <w:rPr>
                <w:noProof/>
              </w:rPr>
              <w:drawing>
                <wp:inline distT="0" distB="0" distL="0" distR="0" wp14:anchorId="59EE5BE2" wp14:editId="102005F0">
                  <wp:extent cx="2400300" cy="1800225"/>
                  <wp:effectExtent l="0" t="0" r="0" b="3175"/>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27D97B23"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Verdana" w:hAnsi="Verdana" w:cs="Verdana"/>
                <w:color w:val="333333"/>
                <w:kern w:val="24"/>
                <w:sz w:val="24"/>
                <w:szCs w:val="24"/>
              </w:rPr>
              <w:t>This form was used to reinstate a lease which had been nulled by a court order in more than likely an Unlawful Detainer. However, we found that the Form was not really being used and best practice is just to sign a new lease if you want to keep the tenant.</w:t>
            </w:r>
          </w:p>
          <w:p w14:paraId="5D55AC34" w14:textId="77777777" w:rsidR="008D6684" w:rsidRDefault="008D6684" w:rsidP="008D6684">
            <w:pPr>
              <w:autoSpaceDE w:val="0"/>
              <w:autoSpaceDN w:val="0"/>
              <w:adjustRightInd w:val="0"/>
              <w:spacing w:after="0" w:line="240" w:lineRule="auto"/>
              <w:rPr>
                <w:rFonts w:ascii="Arial" w:hAnsi="Arial" w:cs="Arial"/>
                <w:sz w:val="24"/>
                <w:szCs w:val="24"/>
              </w:rPr>
            </w:pPr>
          </w:p>
          <w:p w14:paraId="27D51EDC" w14:textId="77777777" w:rsidR="008D6684" w:rsidRDefault="008D6684"/>
        </w:tc>
      </w:tr>
      <w:tr w:rsidR="008D6684" w14:paraId="14ADD108" w14:textId="77777777" w:rsidTr="008D6684">
        <w:trPr>
          <w:trHeight w:val="4000"/>
        </w:trPr>
        <w:tc>
          <w:tcPr>
            <w:tcW w:w="1368" w:type="dxa"/>
          </w:tcPr>
          <w:p w14:paraId="53603A2C" w14:textId="6047C901" w:rsidR="008D6684" w:rsidRDefault="008D6684">
            <w:r>
              <w:t>Slide 11</w:t>
            </w:r>
          </w:p>
        </w:tc>
        <w:tc>
          <w:tcPr>
            <w:tcW w:w="3996" w:type="dxa"/>
          </w:tcPr>
          <w:p w14:paraId="2DA48A58" w14:textId="68A80471" w:rsidR="008D6684" w:rsidRDefault="009850C0">
            <w:r>
              <w:rPr>
                <w:noProof/>
              </w:rPr>
              <w:drawing>
                <wp:inline distT="0" distB="0" distL="0" distR="0" wp14:anchorId="10BF53E5" wp14:editId="1C4FA9EF">
                  <wp:extent cx="2400300" cy="1800225"/>
                  <wp:effectExtent l="0" t="0" r="0" b="3175"/>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015496D4"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There were no changes to the statute, so you can be sure that this is still the latest and greatest. </w:t>
            </w:r>
          </w:p>
          <w:p w14:paraId="252AEE2D"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p>
          <w:p w14:paraId="7AFFFFCC" w14:textId="77777777" w:rsidR="008D6684" w:rsidRDefault="008D6684" w:rsidP="008D6684">
            <w:pPr>
              <w:autoSpaceDE w:val="0"/>
              <w:autoSpaceDN w:val="0"/>
              <w:adjustRightInd w:val="0"/>
              <w:spacing w:after="0" w:line="240" w:lineRule="auto"/>
              <w:rPr>
                <w:rFonts w:ascii="Arial" w:hAnsi="Arial" w:cs="Arial"/>
                <w:sz w:val="24"/>
                <w:szCs w:val="24"/>
              </w:rPr>
            </w:pPr>
          </w:p>
          <w:p w14:paraId="1C5C1C13" w14:textId="77777777" w:rsidR="008D6684" w:rsidRDefault="008D6684"/>
        </w:tc>
      </w:tr>
      <w:tr w:rsidR="008D6684" w14:paraId="7A37B0FD" w14:textId="77777777" w:rsidTr="008D6684">
        <w:trPr>
          <w:trHeight w:val="4000"/>
        </w:trPr>
        <w:tc>
          <w:tcPr>
            <w:tcW w:w="1368" w:type="dxa"/>
          </w:tcPr>
          <w:p w14:paraId="6C1349F1" w14:textId="7DA53091" w:rsidR="008D6684" w:rsidRDefault="008D6684">
            <w:r>
              <w:t>Slide 12</w:t>
            </w:r>
          </w:p>
        </w:tc>
        <w:tc>
          <w:tcPr>
            <w:tcW w:w="3996" w:type="dxa"/>
          </w:tcPr>
          <w:p w14:paraId="3B08969E" w14:textId="7508A5F4" w:rsidR="008D6684" w:rsidRDefault="009850C0">
            <w:r>
              <w:rPr>
                <w:noProof/>
              </w:rPr>
              <w:drawing>
                <wp:inline distT="0" distB="0" distL="0" distR="0" wp14:anchorId="67D36D3C" wp14:editId="06E7CBDE">
                  <wp:extent cx="2400300" cy="1800225"/>
                  <wp:effectExtent l="0" t="0" r="0" b="3175"/>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7CEF59A2"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If a Seller is to remain in the Property after the sale and there is a deposit, this form should be used for the disposition of the deposit and its release. </w:t>
            </w:r>
          </w:p>
          <w:p w14:paraId="054E867A" w14:textId="77777777" w:rsidR="008D6684" w:rsidRDefault="008D6684" w:rsidP="008D6684">
            <w:pPr>
              <w:autoSpaceDE w:val="0"/>
              <w:autoSpaceDN w:val="0"/>
              <w:adjustRightInd w:val="0"/>
              <w:spacing w:after="0" w:line="240" w:lineRule="auto"/>
              <w:rPr>
                <w:rFonts w:ascii="Arial" w:hAnsi="Arial" w:cs="Arial"/>
                <w:sz w:val="24"/>
                <w:szCs w:val="24"/>
              </w:rPr>
            </w:pPr>
          </w:p>
          <w:p w14:paraId="5386ECCF" w14:textId="77777777" w:rsidR="008D6684" w:rsidRDefault="008D6684"/>
        </w:tc>
      </w:tr>
      <w:tr w:rsidR="008D6684" w14:paraId="62B4CF45" w14:textId="77777777" w:rsidTr="008D6684">
        <w:trPr>
          <w:trHeight w:val="4000"/>
        </w:trPr>
        <w:tc>
          <w:tcPr>
            <w:tcW w:w="1368" w:type="dxa"/>
          </w:tcPr>
          <w:p w14:paraId="67D8F91B" w14:textId="4161EAA8" w:rsidR="008D6684" w:rsidRDefault="008D6684">
            <w:r>
              <w:lastRenderedPageBreak/>
              <w:t>Slide 13</w:t>
            </w:r>
          </w:p>
        </w:tc>
        <w:tc>
          <w:tcPr>
            <w:tcW w:w="3996" w:type="dxa"/>
          </w:tcPr>
          <w:p w14:paraId="09D974A7" w14:textId="7EA85467" w:rsidR="008D6684" w:rsidRDefault="009850C0">
            <w:r>
              <w:rPr>
                <w:noProof/>
              </w:rPr>
              <w:drawing>
                <wp:inline distT="0" distB="0" distL="0" distR="0" wp14:anchorId="1ABAF7BE" wp14:editId="49811235">
                  <wp:extent cx="2400300" cy="1800225"/>
                  <wp:effectExtent l="0" t="0" r="0" b="317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7906C600"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Modified language for inclusivity. </w:t>
            </w:r>
          </w:p>
          <w:p w14:paraId="13E6ED02" w14:textId="77777777" w:rsidR="008D6684" w:rsidRDefault="008D6684" w:rsidP="008D6684">
            <w:pPr>
              <w:autoSpaceDE w:val="0"/>
              <w:autoSpaceDN w:val="0"/>
              <w:adjustRightInd w:val="0"/>
              <w:spacing w:after="0" w:line="240" w:lineRule="auto"/>
              <w:rPr>
                <w:rFonts w:ascii="Arial" w:hAnsi="Arial" w:cs="Arial"/>
                <w:sz w:val="24"/>
                <w:szCs w:val="24"/>
              </w:rPr>
            </w:pPr>
          </w:p>
          <w:p w14:paraId="765CD719" w14:textId="77777777" w:rsidR="008D6684" w:rsidRDefault="008D6684"/>
        </w:tc>
      </w:tr>
      <w:tr w:rsidR="008D6684" w14:paraId="5A0062B9" w14:textId="77777777" w:rsidTr="008D6684">
        <w:trPr>
          <w:trHeight w:val="4000"/>
        </w:trPr>
        <w:tc>
          <w:tcPr>
            <w:tcW w:w="1368" w:type="dxa"/>
          </w:tcPr>
          <w:p w14:paraId="7D655E0E" w14:textId="557EE9B6" w:rsidR="008D6684" w:rsidRDefault="008D6684">
            <w:r>
              <w:t>Slide 14</w:t>
            </w:r>
          </w:p>
        </w:tc>
        <w:tc>
          <w:tcPr>
            <w:tcW w:w="3996" w:type="dxa"/>
          </w:tcPr>
          <w:p w14:paraId="34D64848" w14:textId="13A51EB6" w:rsidR="008D6684" w:rsidRDefault="009850C0">
            <w:r>
              <w:rPr>
                <w:noProof/>
              </w:rPr>
              <w:drawing>
                <wp:inline distT="0" distB="0" distL="0" distR="0" wp14:anchorId="4097E6A3" wp14:editId="3876C064">
                  <wp:extent cx="2400300" cy="1800225"/>
                  <wp:effectExtent l="0" t="0" r="0" b="3175"/>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4C828B0C" w14:textId="77777777" w:rsidR="008D6684" w:rsidRDefault="008D6684" w:rsidP="008D6684">
            <w:pPr>
              <w:autoSpaceDE w:val="0"/>
              <w:autoSpaceDN w:val="0"/>
              <w:adjustRightInd w:val="0"/>
              <w:spacing w:after="0" w:line="240" w:lineRule="auto"/>
              <w:rPr>
                <w:rFonts w:ascii="Verdana" w:hAnsi="Verdana" w:cs="Verdana"/>
                <w:color w:val="333333"/>
                <w:kern w:val="24"/>
                <w:sz w:val="24"/>
                <w:szCs w:val="24"/>
              </w:rPr>
            </w:pPr>
            <w:r>
              <w:rPr>
                <w:rFonts w:ascii="Calibri" w:hAnsi="Calibri" w:cs="Calibri"/>
                <w:b/>
                <w:bCs/>
                <w:kern w:val="24"/>
                <w:sz w:val="24"/>
                <w:szCs w:val="24"/>
              </w:rPr>
              <w:t xml:space="preserve">Instructor: </w:t>
            </w:r>
            <w:r>
              <w:rPr>
                <w:rFonts w:ascii="Verdana" w:hAnsi="Verdana" w:cs="Verdana"/>
                <w:color w:val="333333"/>
                <w:kern w:val="24"/>
                <w:sz w:val="24"/>
                <w:szCs w:val="24"/>
              </w:rPr>
              <w:t xml:space="preserve">Form 270 </w:t>
            </w:r>
            <w:proofErr w:type="gramStart"/>
            <w:r>
              <w:rPr>
                <w:rFonts w:ascii="Verdana" w:hAnsi="Verdana" w:cs="Verdana"/>
                <w:color w:val="333333"/>
                <w:kern w:val="24"/>
                <w:sz w:val="24"/>
                <w:szCs w:val="24"/>
              </w:rPr>
              <w:t>still remains</w:t>
            </w:r>
            <w:proofErr w:type="gramEnd"/>
            <w:r>
              <w:rPr>
                <w:rFonts w:ascii="Verdana" w:hAnsi="Verdana" w:cs="Verdana"/>
                <w:color w:val="333333"/>
                <w:kern w:val="24"/>
                <w:sz w:val="24"/>
                <w:szCs w:val="24"/>
              </w:rPr>
              <w:t>; however, now you have the option of sending one of the two and not just both at the same time if you so wish.</w:t>
            </w:r>
          </w:p>
          <w:p w14:paraId="471D2E57" w14:textId="77777777" w:rsidR="008D6684" w:rsidRDefault="008D6684" w:rsidP="008D6684">
            <w:pPr>
              <w:autoSpaceDE w:val="0"/>
              <w:autoSpaceDN w:val="0"/>
              <w:adjustRightInd w:val="0"/>
              <w:spacing w:after="0" w:line="240" w:lineRule="auto"/>
              <w:rPr>
                <w:rFonts w:ascii="Arial" w:hAnsi="Arial" w:cs="Arial"/>
                <w:sz w:val="24"/>
                <w:szCs w:val="24"/>
              </w:rPr>
            </w:pPr>
          </w:p>
          <w:p w14:paraId="1B9FBC1D" w14:textId="77777777" w:rsidR="008D6684" w:rsidRDefault="008D6684"/>
        </w:tc>
      </w:tr>
      <w:tr w:rsidR="008D6684" w14:paraId="777DB534" w14:textId="77777777" w:rsidTr="008D6684">
        <w:trPr>
          <w:trHeight w:val="4000"/>
        </w:trPr>
        <w:tc>
          <w:tcPr>
            <w:tcW w:w="1368" w:type="dxa"/>
          </w:tcPr>
          <w:p w14:paraId="23728D74" w14:textId="424183AE" w:rsidR="008D6684" w:rsidRDefault="008D6684">
            <w:r>
              <w:t>Slide 15</w:t>
            </w:r>
          </w:p>
        </w:tc>
        <w:tc>
          <w:tcPr>
            <w:tcW w:w="3996" w:type="dxa"/>
          </w:tcPr>
          <w:p w14:paraId="7CA95402" w14:textId="46125C65" w:rsidR="008D6684" w:rsidRDefault="009850C0">
            <w:r>
              <w:rPr>
                <w:noProof/>
              </w:rPr>
              <w:drawing>
                <wp:inline distT="0" distB="0" distL="0" distR="0" wp14:anchorId="496F7711" wp14:editId="2D912F47">
                  <wp:extent cx="2400300" cy="1800225"/>
                  <wp:effectExtent l="0" t="0" r="0" b="3175"/>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A88C033"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w:t>
            </w:r>
          </w:p>
          <w:p w14:paraId="2B424AA8"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2936D89D"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Added check boxes for: </w:t>
            </w:r>
          </w:p>
          <w:p w14:paraId="3820C0C0"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3d – balance of purchase price</w:t>
            </w:r>
          </w:p>
          <w:p w14:paraId="5B8F44B0"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3e – Seller concessions</w:t>
            </w:r>
          </w:p>
          <w:p w14:paraId="224B03F5"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3f – Other financing Terms</w:t>
            </w:r>
          </w:p>
          <w:p w14:paraId="32E396AF"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601898C1"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Also changed the assignability language to the affirmative:</w:t>
            </w:r>
          </w:p>
          <w:p w14:paraId="2AA91482"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33848463"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Times New Roman" w:hAnsi="Times New Roman" w:cs="Times New Roman"/>
                <w:kern w:val="24"/>
                <w:sz w:val="24"/>
                <w:szCs w:val="24"/>
              </w:rPr>
              <w:t>Purchaser may assign this Contract in whole or in part, only with the prior written consent of Seller, which Seller shall be under no obligation whatsoever to give.</w:t>
            </w:r>
          </w:p>
          <w:p w14:paraId="7DD7968A" w14:textId="77777777" w:rsidR="008D6684" w:rsidRDefault="008D6684" w:rsidP="008D6684">
            <w:pPr>
              <w:autoSpaceDE w:val="0"/>
              <w:autoSpaceDN w:val="0"/>
              <w:adjustRightInd w:val="0"/>
              <w:spacing w:after="0" w:line="240" w:lineRule="auto"/>
              <w:rPr>
                <w:rFonts w:ascii="Arial" w:hAnsi="Arial" w:cs="Arial"/>
                <w:sz w:val="24"/>
                <w:szCs w:val="24"/>
              </w:rPr>
            </w:pPr>
          </w:p>
          <w:p w14:paraId="0708CBC3" w14:textId="77777777" w:rsidR="008D6684" w:rsidRDefault="008D6684"/>
        </w:tc>
      </w:tr>
      <w:tr w:rsidR="008D6684" w14:paraId="3E60009D" w14:textId="77777777" w:rsidTr="008D6684">
        <w:trPr>
          <w:trHeight w:val="4000"/>
        </w:trPr>
        <w:tc>
          <w:tcPr>
            <w:tcW w:w="1368" w:type="dxa"/>
          </w:tcPr>
          <w:p w14:paraId="199DD581" w14:textId="1BEE6106" w:rsidR="008D6684" w:rsidRDefault="008D6684">
            <w:r>
              <w:lastRenderedPageBreak/>
              <w:t>Slide 16</w:t>
            </w:r>
          </w:p>
        </w:tc>
        <w:tc>
          <w:tcPr>
            <w:tcW w:w="3996" w:type="dxa"/>
          </w:tcPr>
          <w:p w14:paraId="57147B8C" w14:textId="573B958F" w:rsidR="008D6684" w:rsidRDefault="009850C0">
            <w:r>
              <w:rPr>
                <w:noProof/>
              </w:rPr>
              <w:drawing>
                <wp:inline distT="0" distB="0" distL="0" distR="0" wp14:anchorId="23E56472" wp14:editId="189CDB04">
                  <wp:extent cx="2400300" cy="1800225"/>
                  <wp:effectExtent l="0" t="0" r="0" b="3175"/>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3E9F529B"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The term deficiencies is now defined at the top. Before it was in the middle of the contract; however, now it is clear at the top. 600D only allows for deficiencies to be used as part of the negotiation.</w:t>
            </w:r>
          </w:p>
          <w:p w14:paraId="0130EB7D" w14:textId="77777777" w:rsidR="008D6684" w:rsidRDefault="008D6684" w:rsidP="008D6684">
            <w:pPr>
              <w:autoSpaceDE w:val="0"/>
              <w:autoSpaceDN w:val="0"/>
              <w:adjustRightInd w:val="0"/>
              <w:spacing w:after="0" w:line="240" w:lineRule="auto"/>
              <w:rPr>
                <w:rFonts w:ascii="Arial" w:hAnsi="Arial" w:cs="Arial"/>
                <w:sz w:val="24"/>
                <w:szCs w:val="24"/>
              </w:rPr>
            </w:pPr>
          </w:p>
          <w:p w14:paraId="47D480DA" w14:textId="77777777" w:rsidR="008D6684" w:rsidRDefault="008D6684"/>
        </w:tc>
      </w:tr>
      <w:tr w:rsidR="008D6684" w14:paraId="7FBCE2D1" w14:textId="77777777" w:rsidTr="008D6684">
        <w:trPr>
          <w:trHeight w:val="4000"/>
        </w:trPr>
        <w:tc>
          <w:tcPr>
            <w:tcW w:w="1368" w:type="dxa"/>
          </w:tcPr>
          <w:p w14:paraId="2A1A6D75" w14:textId="60272A7A" w:rsidR="008D6684" w:rsidRDefault="008D6684">
            <w:r>
              <w:t>Slide 17</w:t>
            </w:r>
          </w:p>
        </w:tc>
        <w:tc>
          <w:tcPr>
            <w:tcW w:w="3996" w:type="dxa"/>
          </w:tcPr>
          <w:p w14:paraId="52E5F07A" w14:textId="5DBC1BBC" w:rsidR="008D6684" w:rsidRDefault="009850C0">
            <w:r>
              <w:rPr>
                <w:noProof/>
              </w:rPr>
              <w:drawing>
                <wp:inline distT="0" distB="0" distL="0" distR="0" wp14:anchorId="1480D956" wp14:editId="6550312F">
                  <wp:extent cx="2400300" cy="1800225"/>
                  <wp:effectExtent l="0" t="0" r="0" b="3175"/>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63062A78"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Form 670 now includes a paragraph where Title must pass with covenants. </w:t>
            </w:r>
          </w:p>
          <w:p w14:paraId="7E982C1C" w14:textId="77777777" w:rsidR="008D6684" w:rsidRDefault="008D6684" w:rsidP="008D6684">
            <w:pPr>
              <w:autoSpaceDE w:val="0"/>
              <w:autoSpaceDN w:val="0"/>
              <w:adjustRightInd w:val="0"/>
              <w:spacing w:after="0" w:line="240" w:lineRule="auto"/>
              <w:rPr>
                <w:rFonts w:ascii="Arial" w:hAnsi="Arial" w:cs="Arial"/>
                <w:sz w:val="24"/>
                <w:szCs w:val="24"/>
              </w:rPr>
            </w:pPr>
          </w:p>
          <w:p w14:paraId="5A476364" w14:textId="77777777" w:rsidR="008D6684" w:rsidRDefault="008D6684"/>
        </w:tc>
      </w:tr>
      <w:tr w:rsidR="008D6684" w14:paraId="15F810BA" w14:textId="77777777" w:rsidTr="008D6684">
        <w:trPr>
          <w:trHeight w:val="4000"/>
        </w:trPr>
        <w:tc>
          <w:tcPr>
            <w:tcW w:w="1368" w:type="dxa"/>
          </w:tcPr>
          <w:p w14:paraId="47E8819E" w14:textId="74D45CD7" w:rsidR="008D6684" w:rsidRDefault="008D6684">
            <w:r>
              <w:lastRenderedPageBreak/>
              <w:t>Slide 18</w:t>
            </w:r>
          </w:p>
        </w:tc>
        <w:tc>
          <w:tcPr>
            <w:tcW w:w="3996" w:type="dxa"/>
          </w:tcPr>
          <w:p w14:paraId="3DC16BCE" w14:textId="53989056" w:rsidR="008D6684" w:rsidRDefault="004E4DB7">
            <w:r>
              <w:rPr>
                <w:noProof/>
              </w:rPr>
              <w:drawing>
                <wp:inline distT="0" distB="0" distL="0" distR="0" wp14:anchorId="1EE6279C" wp14:editId="58D825EB">
                  <wp:extent cx="2400300" cy="1800225"/>
                  <wp:effectExtent l="0" t="0" r="0" b="3175"/>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23083DA9"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Paragraph 40 - Termination – Added: If this Agreement is terminated coinciding with the end of a tenancy, Agent will comply with requirements of this Agreement related to the end of a tenancy, to include move out inspection and security deposit disposition.</w:t>
            </w:r>
          </w:p>
          <w:p w14:paraId="0E323605" w14:textId="77777777" w:rsidR="008D6684" w:rsidRDefault="008D6684" w:rsidP="008D6684">
            <w:pPr>
              <w:autoSpaceDE w:val="0"/>
              <w:autoSpaceDN w:val="0"/>
              <w:adjustRightInd w:val="0"/>
              <w:spacing w:after="0" w:line="240" w:lineRule="auto"/>
              <w:rPr>
                <w:rFonts w:ascii="Calibri" w:hAnsi="Calibri" w:cs="Calibri"/>
                <w:kern w:val="24"/>
                <w:sz w:val="24"/>
                <w:szCs w:val="24"/>
              </w:rPr>
            </w:pPr>
          </w:p>
          <w:p w14:paraId="374F0514"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this is not to be the case, please make sure that you state this in the termination/release of PMA – 900A.</w:t>
            </w:r>
          </w:p>
          <w:p w14:paraId="6D82B0FF" w14:textId="77777777" w:rsidR="008D6684" w:rsidRDefault="008D6684" w:rsidP="008D6684">
            <w:pPr>
              <w:autoSpaceDE w:val="0"/>
              <w:autoSpaceDN w:val="0"/>
              <w:adjustRightInd w:val="0"/>
              <w:spacing w:after="0" w:line="240" w:lineRule="auto"/>
              <w:rPr>
                <w:rFonts w:ascii="Arial" w:hAnsi="Arial" w:cs="Arial"/>
                <w:sz w:val="24"/>
                <w:szCs w:val="24"/>
              </w:rPr>
            </w:pPr>
          </w:p>
          <w:p w14:paraId="40519CC5" w14:textId="77777777" w:rsidR="008D6684" w:rsidRDefault="008D6684"/>
        </w:tc>
      </w:tr>
      <w:tr w:rsidR="008D6684" w14:paraId="27D84F2D" w14:textId="77777777" w:rsidTr="008D6684">
        <w:trPr>
          <w:trHeight w:val="4000"/>
        </w:trPr>
        <w:tc>
          <w:tcPr>
            <w:tcW w:w="1368" w:type="dxa"/>
          </w:tcPr>
          <w:p w14:paraId="3B421EF2" w14:textId="1065984E" w:rsidR="008D6684" w:rsidRDefault="008D6684">
            <w:r>
              <w:t>Slide 19</w:t>
            </w:r>
          </w:p>
        </w:tc>
        <w:tc>
          <w:tcPr>
            <w:tcW w:w="3996" w:type="dxa"/>
          </w:tcPr>
          <w:p w14:paraId="72A9ED59" w14:textId="07255F1F" w:rsidR="008D6684" w:rsidRDefault="004E4DB7">
            <w:r>
              <w:rPr>
                <w:noProof/>
              </w:rPr>
              <w:drawing>
                <wp:inline distT="0" distB="0" distL="0" distR="0" wp14:anchorId="3FBEDE5C" wp14:editId="12C08F5F">
                  <wp:extent cx="2400300" cy="1800225"/>
                  <wp:effectExtent l="0" t="0" r="0" b="3175"/>
                  <wp:docPr id="4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7B7F3C2A"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Instructor:</w:t>
            </w:r>
            <w:r>
              <w:rPr>
                <w:rFonts w:ascii="Calibri" w:hAnsi="Calibri" w:cs="Calibri"/>
                <w:kern w:val="24"/>
                <w:sz w:val="24"/>
                <w:szCs w:val="24"/>
              </w:rPr>
              <w:t xml:space="preserve"> Reformatted for clarity and added more lines for Other. </w:t>
            </w:r>
          </w:p>
          <w:p w14:paraId="5B3407E0" w14:textId="77777777" w:rsidR="008D6684" w:rsidRDefault="008D6684" w:rsidP="008D6684">
            <w:pPr>
              <w:autoSpaceDE w:val="0"/>
              <w:autoSpaceDN w:val="0"/>
              <w:adjustRightInd w:val="0"/>
              <w:spacing w:after="0" w:line="240" w:lineRule="auto"/>
              <w:rPr>
                <w:rFonts w:ascii="Arial" w:hAnsi="Arial" w:cs="Arial"/>
                <w:sz w:val="24"/>
                <w:szCs w:val="24"/>
              </w:rPr>
            </w:pPr>
          </w:p>
          <w:p w14:paraId="7C035B73" w14:textId="77777777" w:rsidR="008D6684" w:rsidRDefault="008D6684"/>
        </w:tc>
      </w:tr>
      <w:tr w:rsidR="008D6684" w14:paraId="1315215D" w14:textId="77777777" w:rsidTr="008D6684">
        <w:trPr>
          <w:trHeight w:val="4000"/>
        </w:trPr>
        <w:tc>
          <w:tcPr>
            <w:tcW w:w="1368" w:type="dxa"/>
          </w:tcPr>
          <w:p w14:paraId="31AC4579" w14:textId="06071BD2" w:rsidR="008D6684" w:rsidRDefault="008D6684">
            <w:r>
              <w:t>Slide 20</w:t>
            </w:r>
          </w:p>
        </w:tc>
        <w:tc>
          <w:tcPr>
            <w:tcW w:w="3996" w:type="dxa"/>
          </w:tcPr>
          <w:p w14:paraId="38F1EFCD" w14:textId="1A17680D" w:rsidR="008D6684" w:rsidRDefault="004E4DB7">
            <w:r>
              <w:rPr>
                <w:noProof/>
              </w:rPr>
              <w:drawing>
                <wp:inline distT="0" distB="0" distL="0" distR="0" wp14:anchorId="0EFF6D25" wp14:editId="7100D13F">
                  <wp:extent cx="2400300" cy="1800225"/>
                  <wp:effectExtent l="0" t="0" r="0" b="317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5824B56F" w14:textId="77777777" w:rsidR="008D6684" w:rsidRDefault="008D6684" w:rsidP="008D6684">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Instructor: </w:t>
            </w:r>
            <w:r>
              <w:rPr>
                <w:rFonts w:ascii="Calibri" w:hAnsi="Calibri" w:cs="Calibri"/>
                <w:kern w:val="24"/>
                <w:sz w:val="24"/>
                <w:szCs w:val="24"/>
              </w:rPr>
              <w:t xml:space="preserve">These forms have been reviewed and no changes have been made. </w:t>
            </w:r>
          </w:p>
          <w:p w14:paraId="13514CAD" w14:textId="77777777" w:rsidR="008D6684" w:rsidRDefault="008D6684" w:rsidP="008D6684">
            <w:pPr>
              <w:autoSpaceDE w:val="0"/>
              <w:autoSpaceDN w:val="0"/>
              <w:adjustRightInd w:val="0"/>
              <w:spacing w:after="0" w:line="240" w:lineRule="auto"/>
              <w:rPr>
                <w:rFonts w:ascii="Arial" w:hAnsi="Arial" w:cs="Arial"/>
                <w:sz w:val="24"/>
                <w:szCs w:val="24"/>
              </w:rPr>
            </w:pPr>
          </w:p>
          <w:p w14:paraId="348951D5" w14:textId="77777777" w:rsidR="008D6684" w:rsidRDefault="008D6684"/>
        </w:tc>
      </w:tr>
      <w:tr w:rsidR="008D6684" w14:paraId="719A46C0" w14:textId="77777777" w:rsidTr="008D6684">
        <w:trPr>
          <w:trHeight w:val="4000"/>
        </w:trPr>
        <w:tc>
          <w:tcPr>
            <w:tcW w:w="1368" w:type="dxa"/>
          </w:tcPr>
          <w:p w14:paraId="65AF033A" w14:textId="30F74B29" w:rsidR="008D6684" w:rsidRDefault="008D6684">
            <w:r>
              <w:lastRenderedPageBreak/>
              <w:t>Slide 21</w:t>
            </w:r>
          </w:p>
        </w:tc>
        <w:tc>
          <w:tcPr>
            <w:tcW w:w="3996" w:type="dxa"/>
          </w:tcPr>
          <w:p w14:paraId="061BA403" w14:textId="6B104EC5" w:rsidR="008D6684" w:rsidRDefault="004E4DB7">
            <w:r>
              <w:rPr>
                <w:noProof/>
              </w:rPr>
              <w:drawing>
                <wp:inline distT="0" distB="0" distL="0" distR="0" wp14:anchorId="6BAADD44" wp14:editId="74A15F7F">
                  <wp:extent cx="2400300" cy="1800225"/>
                  <wp:effectExtent l="0" t="0" r="0" b="3175"/>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c>
          <w:tcPr>
            <w:tcW w:w="3996" w:type="dxa"/>
          </w:tcPr>
          <w:p w14:paraId="6D6FB5B1" w14:textId="77777777" w:rsidR="008D6684" w:rsidRDefault="008D6684"/>
        </w:tc>
      </w:tr>
    </w:tbl>
    <w:p w14:paraId="034FA11C" w14:textId="77777777" w:rsidR="007B54EB" w:rsidRDefault="007B54EB"/>
    <w:sectPr w:rsidR="007B54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684"/>
    <w:rsid w:val="004E4DB7"/>
    <w:rsid w:val="007B54EB"/>
    <w:rsid w:val="008D6684"/>
    <w:rsid w:val="009850C0"/>
    <w:rsid w:val="009C3E88"/>
    <w:rsid w:val="00EE5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EB13A"/>
  <w15:chartTrackingRefBased/>
  <w15:docId w15:val="{BA379D55-271A-4EC8-9C54-28B4E451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5" ma:contentTypeDescription="Create a new document." ma:contentTypeScope="" ma:versionID="5ec63cf76c63be4c4060dde4fd5b70fe">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c1655f07aff125d8ea5b8a8ee62677f2"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0BE9D-867C-4338-BAFD-4618906B8980}">
  <ds:schemaRefs>
    <ds:schemaRef ds:uri="http://schemas.microsoft.com/sharepoint/v3/contenttype/forms"/>
  </ds:schemaRefs>
</ds:datastoreItem>
</file>

<file path=customXml/itemProps2.xml><?xml version="1.0" encoding="utf-8"?>
<ds:datastoreItem xmlns:ds="http://schemas.openxmlformats.org/officeDocument/2006/customXml" ds:itemID="{CB4ACE1D-EEF3-48B7-B57C-BD643DD60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30d7b-8c89-47ad-91ac-97942cba60d1"/>
    <ds:schemaRef ds:uri="0207266a-8549-4d12-87c7-6d3d79637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Montalvo</dc:creator>
  <cp:keywords/>
  <dc:description/>
  <cp:lastModifiedBy>Adam J Smith (Creative Director)</cp:lastModifiedBy>
  <cp:revision>4</cp:revision>
  <dcterms:created xsi:type="dcterms:W3CDTF">2022-12-02T22:30:00Z</dcterms:created>
  <dcterms:modified xsi:type="dcterms:W3CDTF">2022-12-02T22:32:00Z</dcterms:modified>
</cp:coreProperties>
</file>