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8"/>
        <w:gridCol w:w="3996"/>
        <w:gridCol w:w="3996"/>
      </w:tblGrid>
      <w:tr w:rsidR="00283234" w14:paraId="76B470ED" w14:textId="77777777" w:rsidTr="00283234">
        <w:trPr>
          <w:trHeight w:val="4000"/>
        </w:trPr>
        <w:tc>
          <w:tcPr>
            <w:tcW w:w="1368" w:type="dxa"/>
          </w:tcPr>
          <w:p w14:paraId="246E7E3D" w14:textId="77777777" w:rsidR="00283234" w:rsidRDefault="00283234">
            <w:r>
              <w:t>Slide 1</w:t>
            </w:r>
          </w:p>
        </w:tc>
        <w:tc>
          <w:tcPr>
            <w:tcW w:w="3996" w:type="dxa"/>
          </w:tcPr>
          <w:p w14:paraId="3DEDB384" w14:textId="3BF815B0" w:rsidR="00283234" w:rsidRDefault="009425E0">
            <w:r>
              <w:rPr>
                <w:noProof/>
              </w:rPr>
              <w:object w:dxaOrig="9587" w:dyaOrig="5403" w14:anchorId="321D8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92pt;height:108.35pt;mso-width-percent:0;mso-height-percent:0;mso-width-percent:0;mso-height-percent:0"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PowerPoint.Slide.12" ShapeID="_x0000_i1031" DrawAspect="Content" ObjectID="_1700292693" r:id="rId9"/>
              </w:object>
            </w:r>
          </w:p>
        </w:tc>
        <w:tc>
          <w:tcPr>
            <w:tcW w:w="3996" w:type="dxa"/>
          </w:tcPr>
          <w:p w14:paraId="630CA21F" w14:textId="77777777" w:rsidR="00283234" w:rsidRDefault="00283234"/>
        </w:tc>
      </w:tr>
      <w:tr w:rsidR="00283234" w14:paraId="75760A43" w14:textId="77777777" w:rsidTr="00283234">
        <w:trPr>
          <w:trHeight w:val="4000"/>
        </w:trPr>
        <w:tc>
          <w:tcPr>
            <w:tcW w:w="1368" w:type="dxa"/>
          </w:tcPr>
          <w:p w14:paraId="035D22FF" w14:textId="0AD08503" w:rsidR="00283234" w:rsidRDefault="00283234">
            <w:r>
              <w:t>Slide 2</w:t>
            </w:r>
          </w:p>
        </w:tc>
        <w:tc>
          <w:tcPr>
            <w:tcW w:w="3996" w:type="dxa"/>
          </w:tcPr>
          <w:p w14:paraId="27143D85" w14:textId="6F0CF62E" w:rsidR="00283234" w:rsidRDefault="009425E0">
            <w:r>
              <w:rPr>
                <w:noProof/>
              </w:rPr>
              <w:object w:dxaOrig="9587" w:dyaOrig="5403" w14:anchorId="39BB18FA">
                <v:shape id="_x0000_i1030" type="#_x0000_t75" alt="" style="width:192pt;height:108.35pt;mso-width-percent:0;mso-height-percent:0;mso-width-percent:0;mso-height-percent:0"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12" ShapeID="_x0000_i1030" DrawAspect="Content" ObjectID="_1700292694" r:id="rId11"/>
              </w:object>
            </w:r>
          </w:p>
        </w:tc>
        <w:tc>
          <w:tcPr>
            <w:tcW w:w="3996" w:type="dxa"/>
          </w:tcPr>
          <w:p w14:paraId="37F2C3CE" w14:textId="77777777" w:rsidR="00283234" w:rsidRDefault="00283234" w:rsidP="0028323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There are two changes that we will discuss today.</w:t>
            </w:r>
          </w:p>
          <w:p w14:paraId="774E797E" w14:textId="77777777" w:rsidR="00283234" w:rsidRDefault="00283234" w:rsidP="00283234">
            <w:pPr>
              <w:autoSpaceDE w:val="0"/>
              <w:autoSpaceDN w:val="0"/>
              <w:adjustRightInd w:val="0"/>
              <w:spacing w:after="0" w:line="240" w:lineRule="auto"/>
              <w:rPr>
                <w:rFonts w:ascii="Calibri" w:hAnsi="Calibri" w:cs="Calibri"/>
                <w:kern w:val="24"/>
                <w:sz w:val="24"/>
                <w:szCs w:val="24"/>
              </w:rPr>
            </w:pPr>
          </w:p>
          <w:p w14:paraId="1897D7CD" w14:textId="77777777" w:rsidR="00283234" w:rsidRDefault="00283234" w:rsidP="00283234">
            <w:pPr>
              <w:numPr>
                <w:ilvl w:val="0"/>
                <w:numId w:val="1"/>
              </w:numPr>
              <w:autoSpaceDE w:val="0"/>
              <w:autoSpaceDN w:val="0"/>
              <w:adjustRightInd w:val="0"/>
              <w:spacing w:after="0" w:line="240" w:lineRule="auto"/>
              <w:ind w:left="360" w:hanging="360"/>
              <w:rPr>
                <w:rFonts w:ascii="Calibri" w:hAnsi="Calibri" w:cs="Calibri"/>
                <w:kern w:val="24"/>
                <w:sz w:val="24"/>
                <w:szCs w:val="24"/>
              </w:rPr>
            </w:pPr>
            <w:r>
              <w:rPr>
                <w:rFonts w:ascii="Calibri" w:hAnsi="Calibri" w:cs="Calibri"/>
                <w:kern w:val="24"/>
                <w:sz w:val="24"/>
                <w:szCs w:val="24"/>
              </w:rPr>
              <w:t>Two changes to standards of practice – one under article 1 and the other under article 12</w:t>
            </w:r>
          </w:p>
          <w:p w14:paraId="143EA539" w14:textId="77777777" w:rsidR="00283234" w:rsidRDefault="00283234" w:rsidP="00283234">
            <w:pPr>
              <w:numPr>
                <w:ilvl w:val="0"/>
                <w:numId w:val="1"/>
              </w:numPr>
              <w:autoSpaceDE w:val="0"/>
              <w:autoSpaceDN w:val="0"/>
              <w:adjustRightInd w:val="0"/>
              <w:spacing w:after="0" w:line="240" w:lineRule="auto"/>
              <w:ind w:left="360" w:hanging="360"/>
              <w:rPr>
                <w:rFonts w:ascii="Calibri" w:hAnsi="Calibri" w:cs="Calibri"/>
                <w:kern w:val="24"/>
                <w:sz w:val="24"/>
                <w:szCs w:val="24"/>
              </w:rPr>
            </w:pPr>
            <w:r>
              <w:rPr>
                <w:rFonts w:ascii="Calibri" w:hAnsi="Calibri" w:cs="Calibri"/>
                <w:kern w:val="24"/>
                <w:sz w:val="24"/>
                <w:szCs w:val="24"/>
              </w:rPr>
              <w:t>New case interpretations added for Article 10, Standard of Practice 10-5</w:t>
            </w:r>
          </w:p>
          <w:p w14:paraId="425535B4" w14:textId="77777777" w:rsidR="00283234" w:rsidRDefault="00283234" w:rsidP="00283234">
            <w:pPr>
              <w:autoSpaceDE w:val="0"/>
              <w:autoSpaceDN w:val="0"/>
              <w:adjustRightInd w:val="0"/>
              <w:spacing w:after="0" w:line="240" w:lineRule="auto"/>
              <w:rPr>
                <w:rFonts w:ascii="Calibri" w:hAnsi="Calibri" w:cs="Calibri"/>
                <w:kern w:val="24"/>
                <w:sz w:val="24"/>
                <w:szCs w:val="24"/>
              </w:rPr>
            </w:pPr>
          </w:p>
          <w:p w14:paraId="59FA047E" w14:textId="77777777" w:rsidR="00283234" w:rsidRDefault="00283234" w:rsidP="00283234">
            <w:pPr>
              <w:autoSpaceDE w:val="0"/>
              <w:autoSpaceDN w:val="0"/>
              <w:adjustRightInd w:val="0"/>
              <w:spacing w:after="0" w:line="240" w:lineRule="auto"/>
              <w:rPr>
                <w:rFonts w:ascii="Arial" w:hAnsi="Arial" w:cs="Arial"/>
                <w:sz w:val="24"/>
                <w:szCs w:val="24"/>
              </w:rPr>
            </w:pPr>
          </w:p>
          <w:p w14:paraId="4E88E996" w14:textId="77777777" w:rsidR="00283234" w:rsidRDefault="00283234"/>
        </w:tc>
      </w:tr>
      <w:tr w:rsidR="00283234" w14:paraId="632DC5CB" w14:textId="77777777" w:rsidTr="00283234">
        <w:trPr>
          <w:trHeight w:val="4000"/>
        </w:trPr>
        <w:tc>
          <w:tcPr>
            <w:tcW w:w="1368" w:type="dxa"/>
          </w:tcPr>
          <w:p w14:paraId="6A8A77AB" w14:textId="1F69EE08" w:rsidR="00283234" w:rsidRDefault="00283234">
            <w:r>
              <w:t>Slide 3</w:t>
            </w:r>
          </w:p>
        </w:tc>
        <w:tc>
          <w:tcPr>
            <w:tcW w:w="3996" w:type="dxa"/>
          </w:tcPr>
          <w:p w14:paraId="5D1DC2D2" w14:textId="531B5B79" w:rsidR="00283234" w:rsidRDefault="009425E0">
            <w:r>
              <w:rPr>
                <w:noProof/>
              </w:rPr>
              <w:object w:dxaOrig="9587" w:dyaOrig="5403" w14:anchorId="514498FA">
                <v:shape id="_x0000_i1029" type="#_x0000_t75" alt="" style="width:192pt;height:108.35pt;mso-width-percent:0;mso-height-percent:0;mso-width-percent:0;mso-height-percent:0" o:ole="" o:bordertopcolor="this" o:borderleftcolor="this" o:borderbottomcolor="this" o:borderrightcolor="this">
                  <v:imagedata r:id="rId12" o:title=""/>
                  <w10:bordertop type="single" width="4" shadow="t"/>
                  <w10:borderleft type="single" width="4" shadow="t"/>
                  <w10:borderbottom type="single" width="4" shadow="t"/>
                  <w10:borderright type="single" width="4" shadow="t"/>
                </v:shape>
                <o:OLEObject Type="Embed" ProgID="PowerPoint.Slide.12" ShapeID="_x0000_i1029" DrawAspect="Content" ObjectID="_1700292695" r:id="rId13"/>
              </w:object>
            </w:r>
          </w:p>
        </w:tc>
        <w:tc>
          <w:tcPr>
            <w:tcW w:w="3996" w:type="dxa"/>
          </w:tcPr>
          <w:p w14:paraId="07DB95C4"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color w:val="FF0000"/>
                <w:kern w:val="24"/>
                <w:sz w:val="24"/>
                <w:szCs w:val="24"/>
              </w:rPr>
              <w:t xml:space="preserve">For this change, there is an added sentence in the Standard of Practice. This is means that if a listing agent makes a written request to the cooperating agent for confirmation that the </w:t>
            </w:r>
            <w:proofErr w:type="gramStart"/>
            <w:r>
              <w:rPr>
                <w:rFonts w:ascii="Calibri" w:eastAsia="Times New Roman" w:hAnsi="Times New Roman" w:cs="Calibri"/>
                <w:color w:val="FF0000"/>
                <w:kern w:val="24"/>
                <w:sz w:val="24"/>
                <w:szCs w:val="24"/>
              </w:rPr>
              <w:t>counter-offer</w:t>
            </w:r>
            <w:proofErr w:type="gramEnd"/>
            <w:r>
              <w:rPr>
                <w:rFonts w:ascii="Calibri" w:eastAsia="Times New Roman" w:hAnsi="Times New Roman" w:cs="Calibri"/>
                <w:color w:val="FF0000"/>
                <w:kern w:val="24"/>
                <w:sz w:val="24"/>
                <w:szCs w:val="24"/>
              </w:rPr>
              <w:t xml:space="preserve"> was submitted to the buyers/tenants then the buyer/tenant</w:t>
            </w:r>
            <w:r>
              <w:rPr>
                <w:rFonts w:ascii="Calibri" w:eastAsia="Times New Roman" w:hAnsi="Times New Roman" w:cs="Calibri"/>
                <w:color w:val="FF0000"/>
                <w:kern w:val="24"/>
                <w:sz w:val="24"/>
                <w:szCs w:val="24"/>
              </w:rPr>
              <w:t>’</w:t>
            </w:r>
            <w:r>
              <w:rPr>
                <w:rFonts w:ascii="Calibri" w:eastAsia="Times New Roman" w:hAnsi="Times New Roman" w:cs="Calibri"/>
                <w:color w:val="FF0000"/>
                <w:kern w:val="24"/>
                <w:sz w:val="24"/>
                <w:szCs w:val="24"/>
              </w:rPr>
              <w:t>s agent needs to provide written confirmation that the counter-offer has been submitted or provide written notification that the obligation was waived to present the counter-offer.</w:t>
            </w:r>
          </w:p>
          <w:p w14:paraId="0E0D2CF0"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w:t>
            </w:r>
          </w:p>
          <w:p w14:paraId="2A81B786"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Note that the obligation is triggered when the request is made in writing, </w:t>
            </w:r>
            <w:r>
              <w:rPr>
                <w:rFonts w:ascii="Calibri" w:eastAsia="Times New Roman" w:hAnsi="Times New Roman" w:cs="Calibri"/>
                <w:kern w:val="24"/>
                <w:sz w:val="24"/>
                <w:szCs w:val="24"/>
              </w:rPr>
              <w:lastRenderedPageBreak/>
              <w:t>and the response also must be in writing. A verbal request does not create the obligation to respond.</w:t>
            </w:r>
          </w:p>
          <w:p w14:paraId="4D6A5C55"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p>
          <w:p w14:paraId="0464FBC1"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This change goes into effect on January 1, 2022. </w:t>
            </w:r>
          </w:p>
          <w:p w14:paraId="311ACA8B" w14:textId="77777777" w:rsidR="00283234" w:rsidRDefault="00283234" w:rsidP="00283234">
            <w:pPr>
              <w:autoSpaceDE w:val="0"/>
              <w:autoSpaceDN w:val="0"/>
              <w:adjustRightInd w:val="0"/>
              <w:spacing w:after="0" w:line="240" w:lineRule="auto"/>
              <w:rPr>
                <w:rFonts w:ascii="Calibri" w:hAnsi="Calibri" w:cs="Calibri"/>
                <w:kern w:val="24"/>
                <w:sz w:val="24"/>
                <w:szCs w:val="24"/>
              </w:rPr>
            </w:pPr>
          </w:p>
          <w:p w14:paraId="6BD90F82" w14:textId="77777777" w:rsidR="00283234" w:rsidRDefault="00283234" w:rsidP="00283234">
            <w:pPr>
              <w:autoSpaceDE w:val="0"/>
              <w:autoSpaceDN w:val="0"/>
              <w:adjustRightInd w:val="0"/>
              <w:spacing w:after="0" w:line="240" w:lineRule="auto"/>
              <w:rPr>
                <w:rFonts w:ascii="Arial" w:hAnsi="Arial" w:cs="Arial"/>
                <w:sz w:val="24"/>
                <w:szCs w:val="24"/>
              </w:rPr>
            </w:pPr>
          </w:p>
          <w:p w14:paraId="59C7DB1D" w14:textId="77777777" w:rsidR="00283234" w:rsidRDefault="00283234"/>
        </w:tc>
      </w:tr>
      <w:tr w:rsidR="00283234" w14:paraId="33031D47" w14:textId="77777777" w:rsidTr="00283234">
        <w:trPr>
          <w:trHeight w:val="4000"/>
        </w:trPr>
        <w:tc>
          <w:tcPr>
            <w:tcW w:w="1368" w:type="dxa"/>
          </w:tcPr>
          <w:p w14:paraId="794059C9" w14:textId="76AECB1D" w:rsidR="00283234" w:rsidRDefault="00283234">
            <w:r>
              <w:lastRenderedPageBreak/>
              <w:t>Slide 4</w:t>
            </w:r>
          </w:p>
        </w:tc>
        <w:tc>
          <w:tcPr>
            <w:tcW w:w="3996" w:type="dxa"/>
          </w:tcPr>
          <w:p w14:paraId="34C16F94" w14:textId="6D16D3CB" w:rsidR="00283234" w:rsidRDefault="009425E0">
            <w:r>
              <w:rPr>
                <w:noProof/>
              </w:rPr>
              <w:object w:dxaOrig="9587" w:dyaOrig="5403" w14:anchorId="6FBE5A8B">
                <v:shape id="_x0000_i1028" type="#_x0000_t75" alt="" style="width:192pt;height:108.35pt;mso-width-percent:0;mso-height-percent:0;mso-width-percent:0;mso-height-percent:0" o:ole="" o:bordertopcolor="this" o:borderleftcolor="this" o:borderbottomcolor="this" o:borderrightcolor="this">
                  <v:imagedata r:id="rId14" o:title=""/>
                  <w10:bordertop type="single" width="4" shadow="t"/>
                  <w10:borderleft type="single" width="4" shadow="t"/>
                  <w10:borderbottom type="single" width="4" shadow="t"/>
                  <w10:borderright type="single" width="4" shadow="t"/>
                </v:shape>
                <o:OLEObject Type="Embed" ProgID="PowerPoint.Slide.12" ShapeID="_x0000_i1028" DrawAspect="Content" ObjectID="_1700292696" r:id="rId15"/>
              </w:object>
            </w:r>
          </w:p>
        </w:tc>
        <w:tc>
          <w:tcPr>
            <w:tcW w:w="3996" w:type="dxa"/>
          </w:tcPr>
          <w:p w14:paraId="6701FDE5" w14:textId="77777777" w:rsidR="00283234" w:rsidRDefault="00283234" w:rsidP="00283234">
            <w:pPr>
              <w:autoSpaceDE w:val="0"/>
              <w:autoSpaceDN w:val="0"/>
              <w:adjustRightInd w:val="0"/>
              <w:spacing w:after="0" w:line="240" w:lineRule="auto"/>
              <w:rPr>
                <w:rFonts w:ascii="Calibri" w:eastAsia="Times New Roman" w:hAnsi="Times New Roman" w:cs="Calibri"/>
                <w:color w:val="FF0000"/>
                <w:kern w:val="24"/>
                <w:sz w:val="24"/>
                <w:szCs w:val="24"/>
              </w:rPr>
            </w:pPr>
            <w:r>
              <w:rPr>
                <w:rFonts w:ascii="Calibri" w:eastAsia="Times New Roman" w:hAnsi="Times New Roman" w:cs="Calibri"/>
                <w:color w:val="FF0000"/>
                <w:kern w:val="24"/>
                <w:sz w:val="24"/>
                <w:szCs w:val="24"/>
              </w:rPr>
              <w:t xml:space="preserve">There is also an Update to Article 12, Standard of Practice 12-1. This was last amended in 2020, so not too long ago, but NAR has taken steps to clarify the intent behind it. You can see here the language from the 2020 update has been all crossed out </w:t>
            </w:r>
            <w:r>
              <w:rPr>
                <w:rFonts w:ascii="Calibri" w:eastAsia="Times New Roman" w:hAnsi="Times New Roman" w:cs="Calibri"/>
                <w:color w:val="FF0000"/>
                <w:kern w:val="24"/>
                <w:sz w:val="24"/>
                <w:szCs w:val="24"/>
              </w:rPr>
              <w:t>–</w:t>
            </w:r>
            <w:r>
              <w:rPr>
                <w:rFonts w:ascii="Calibri" w:eastAsia="Times New Roman" w:hAnsi="Times New Roman" w:cs="Calibri"/>
                <w:color w:val="FF0000"/>
                <w:kern w:val="24"/>
                <w:sz w:val="24"/>
                <w:szCs w:val="24"/>
              </w:rPr>
              <w:t xml:space="preserve"> the language had stated:</w:t>
            </w:r>
          </w:p>
          <w:p w14:paraId="5276183A" w14:textId="77777777" w:rsidR="00283234" w:rsidRDefault="00283234" w:rsidP="00283234">
            <w:pPr>
              <w:autoSpaceDE w:val="0"/>
              <w:autoSpaceDN w:val="0"/>
              <w:adjustRightInd w:val="0"/>
              <w:spacing w:after="0" w:line="240" w:lineRule="auto"/>
              <w:rPr>
                <w:rFonts w:ascii="Calibri" w:eastAsia="Times New Roman" w:hAnsi="Times New Roman" w:cs="Calibri"/>
                <w:color w:val="FF0000"/>
                <w:kern w:val="24"/>
                <w:sz w:val="24"/>
                <w:szCs w:val="24"/>
              </w:rPr>
            </w:pPr>
          </w:p>
          <w:p w14:paraId="178C4157" w14:textId="77777777" w:rsidR="00283234" w:rsidRDefault="00283234" w:rsidP="00283234">
            <w:pPr>
              <w:autoSpaceDE w:val="0"/>
              <w:autoSpaceDN w:val="0"/>
              <w:adjustRightInd w:val="0"/>
              <w:spacing w:after="0" w:line="240" w:lineRule="auto"/>
              <w:rPr>
                <w:rFonts w:ascii="Calibri" w:eastAsia="Times New Roman" w:hAnsi="Times New Roman" w:cs="Calibri"/>
                <w:i/>
                <w:iCs/>
                <w:kern w:val="24"/>
                <w:sz w:val="24"/>
                <w:szCs w:val="24"/>
              </w:rPr>
            </w:pPr>
            <w:r>
              <w:rPr>
                <w:rFonts w:ascii="Calibri" w:eastAsia="Times New Roman" w:hAnsi="Times New Roman" w:cs="Calibri"/>
                <w:i/>
                <w:iCs/>
                <w:color w:val="FF0000"/>
                <w:kern w:val="24"/>
                <w:sz w:val="24"/>
                <w:szCs w:val="24"/>
              </w:rPr>
              <w:t>Unless they are receiving no compensation from any source for their time and services, REALTORS</w:t>
            </w:r>
            <w:r>
              <w:rPr>
                <w:rFonts w:ascii="Calibri" w:eastAsia="Times New Roman" w:hAnsi="Times New Roman" w:cs="Calibri"/>
                <w:i/>
                <w:iCs/>
                <w:color w:val="FF0000"/>
                <w:kern w:val="24"/>
                <w:sz w:val="24"/>
                <w:szCs w:val="24"/>
              </w:rPr>
              <w:t>®</w:t>
            </w:r>
            <w:r>
              <w:rPr>
                <w:rFonts w:ascii="Calibri" w:eastAsia="Times New Roman" w:hAnsi="Times New Roman" w:cs="Calibri"/>
                <w:i/>
                <w:iCs/>
                <w:color w:val="FF0000"/>
                <w:kern w:val="24"/>
                <w:sz w:val="24"/>
                <w:szCs w:val="24"/>
              </w:rPr>
              <w:t xml:space="preserve"> may use the term </w:t>
            </w:r>
            <w:r>
              <w:rPr>
                <w:rFonts w:ascii="Calibri" w:eastAsia="Times New Roman" w:hAnsi="Times New Roman" w:cs="Calibri"/>
                <w:i/>
                <w:iCs/>
                <w:color w:val="FF0000"/>
                <w:kern w:val="24"/>
                <w:sz w:val="24"/>
                <w:szCs w:val="24"/>
              </w:rPr>
              <w:t>“</w:t>
            </w:r>
            <w:r>
              <w:rPr>
                <w:rFonts w:ascii="Calibri" w:eastAsia="Times New Roman" w:hAnsi="Times New Roman" w:cs="Calibri"/>
                <w:i/>
                <w:iCs/>
                <w:color w:val="FF0000"/>
                <w:kern w:val="24"/>
                <w:sz w:val="24"/>
                <w:szCs w:val="24"/>
              </w:rPr>
              <w:t>free</w:t>
            </w:r>
            <w:r>
              <w:rPr>
                <w:rFonts w:ascii="Calibri" w:eastAsia="Times New Roman" w:hAnsi="Times New Roman" w:cs="Calibri"/>
                <w:i/>
                <w:iCs/>
                <w:color w:val="FF0000"/>
                <w:kern w:val="24"/>
                <w:sz w:val="24"/>
                <w:szCs w:val="24"/>
              </w:rPr>
              <w:t>”</w:t>
            </w:r>
            <w:r>
              <w:rPr>
                <w:rFonts w:ascii="Calibri" w:eastAsia="Times New Roman" w:hAnsi="Times New Roman" w:cs="Calibri"/>
                <w:i/>
                <w:iCs/>
                <w:color w:val="FF0000"/>
                <w:kern w:val="24"/>
                <w:sz w:val="24"/>
                <w:szCs w:val="24"/>
              </w:rPr>
              <w:t xml:space="preserve"> and similar terms in their advertising and in other representations only if they clearly and conspicuously disclose:</w:t>
            </w:r>
          </w:p>
          <w:p w14:paraId="7AB35907" w14:textId="77777777" w:rsidR="00283234" w:rsidRDefault="00283234" w:rsidP="00283234">
            <w:pPr>
              <w:autoSpaceDE w:val="0"/>
              <w:autoSpaceDN w:val="0"/>
              <w:adjustRightInd w:val="0"/>
              <w:spacing w:after="0" w:line="240" w:lineRule="auto"/>
              <w:ind w:left="720"/>
              <w:rPr>
                <w:rFonts w:ascii="Calibri" w:eastAsia="Times New Roman" w:hAnsi="Times New Roman" w:cs="Calibri"/>
                <w:i/>
                <w:iCs/>
                <w:kern w:val="24"/>
                <w:sz w:val="24"/>
                <w:szCs w:val="24"/>
              </w:rPr>
            </w:pPr>
            <w:r>
              <w:rPr>
                <w:rFonts w:ascii="Calibri" w:eastAsia="Times New Roman" w:hAnsi="Times New Roman" w:cs="Calibri"/>
                <w:i/>
                <w:iCs/>
                <w:color w:val="FF0000"/>
                <w:kern w:val="24"/>
                <w:sz w:val="24"/>
                <w:szCs w:val="24"/>
              </w:rPr>
              <w:t> </w:t>
            </w:r>
          </w:p>
          <w:p w14:paraId="4D6B6B1C" w14:textId="77777777" w:rsidR="00283234" w:rsidRDefault="00283234" w:rsidP="00283234">
            <w:pPr>
              <w:autoSpaceDE w:val="0"/>
              <w:autoSpaceDN w:val="0"/>
              <w:adjustRightInd w:val="0"/>
              <w:spacing w:after="0" w:line="240" w:lineRule="auto"/>
              <w:ind w:left="720"/>
              <w:rPr>
                <w:rFonts w:ascii="Calibri" w:eastAsia="Times New Roman" w:hAnsi="Times New Roman" w:cs="Calibri"/>
                <w:i/>
                <w:iCs/>
                <w:kern w:val="24"/>
                <w:sz w:val="24"/>
                <w:szCs w:val="24"/>
              </w:rPr>
            </w:pPr>
            <w:r>
              <w:rPr>
                <w:rFonts w:ascii="Calibri" w:eastAsia="Times New Roman" w:hAnsi="Times New Roman" w:cs="Calibri"/>
                <w:i/>
                <w:iCs/>
                <w:color w:val="FF0000"/>
                <w:kern w:val="24"/>
                <w:sz w:val="24"/>
                <w:szCs w:val="24"/>
              </w:rPr>
              <w:t>1) by whom they are being, or expect to be, paid;</w:t>
            </w:r>
            <w:r>
              <w:rPr>
                <w:rFonts w:ascii="Calibri" w:eastAsia="Times New Roman" w:hAnsi="Times New Roman" w:cs="Calibri"/>
                <w:i/>
                <w:iCs/>
                <w:color w:val="FF0000"/>
                <w:kern w:val="24"/>
                <w:sz w:val="24"/>
                <w:szCs w:val="24"/>
              </w:rPr>
              <w:br/>
              <w:t>2) the amount of the payment or anticipated payment;</w:t>
            </w:r>
            <w:r>
              <w:rPr>
                <w:rFonts w:ascii="Calibri" w:eastAsia="Times New Roman" w:hAnsi="Times New Roman" w:cs="Calibri"/>
                <w:i/>
                <w:iCs/>
                <w:color w:val="FF0000"/>
                <w:kern w:val="24"/>
                <w:sz w:val="24"/>
                <w:szCs w:val="24"/>
              </w:rPr>
              <w:br/>
              <w:t xml:space="preserve">3) any conditions associated with the payment, offered product or service, </w:t>
            </w:r>
            <w:proofErr w:type="gramStart"/>
            <w:r>
              <w:rPr>
                <w:rFonts w:ascii="Calibri" w:eastAsia="Times New Roman" w:hAnsi="Times New Roman" w:cs="Calibri"/>
                <w:i/>
                <w:iCs/>
                <w:color w:val="FF0000"/>
                <w:kern w:val="24"/>
                <w:sz w:val="24"/>
                <w:szCs w:val="24"/>
              </w:rPr>
              <w:t>and;</w:t>
            </w:r>
            <w:proofErr w:type="gramEnd"/>
            <w:r>
              <w:rPr>
                <w:rFonts w:ascii="Calibri" w:eastAsia="Times New Roman" w:hAnsi="Times New Roman" w:cs="Calibri"/>
                <w:i/>
                <w:iCs/>
                <w:color w:val="FF0000"/>
                <w:kern w:val="24"/>
                <w:sz w:val="24"/>
                <w:szCs w:val="24"/>
              </w:rPr>
              <w:br/>
              <w:t>4) any other terms relating to their compensation.</w:t>
            </w:r>
            <w:r>
              <w:rPr>
                <w:rFonts w:ascii="Calibri" w:eastAsia="Times New Roman" w:hAnsi="Times New Roman" w:cs="Calibri"/>
                <w:i/>
                <w:iCs/>
                <w:color w:val="FF0000"/>
                <w:kern w:val="24"/>
                <w:sz w:val="24"/>
                <w:szCs w:val="24"/>
              </w:rPr>
              <w:t> </w:t>
            </w:r>
            <w:r>
              <w:rPr>
                <w:rFonts w:ascii="Calibri" w:eastAsia="Times New Roman" w:hAnsi="Times New Roman" w:cs="Calibri"/>
                <w:i/>
                <w:iCs/>
                <w:color w:val="FF0000"/>
                <w:kern w:val="24"/>
                <w:sz w:val="24"/>
                <w:szCs w:val="24"/>
              </w:rPr>
              <w:t>(Amended 1/20)</w:t>
            </w:r>
          </w:p>
          <w:p w14:paraId="2CF8FDE5" w14:textId="77777777" w:rsidR="00283234" w:rsidRDefault="00283234" w:rsidP="00283234">
            <w:pPr>
              <w:autoSpaceDE w:val="0"/>
              <w:autoSpaceDN w:val="0"/>
              <w:adjustRightInd w:val="0"/>
              <w:spacing w:after="0" w:line="240" w:lineRule="auto"/>
              <w:rPr>
                <w:rFonts w:ascii="Calibri" w:eastAsia="Times New Roman" w:hAnsi="Times New Roman" w:cs="Calibri"/>
                <w:color w:val="FF0000"/>
                <w:kern w:val="24"/>
                <w:sz w:val="24"/>
                <w:szCs w:val="24"/>
              </w:rPr>
            </w:pPr>
          </w:p>
          <w:p w14:paraId="6731032B" w14:textId="77777777" w:rsidR="00283234" w:rsidRDefault="00283234" w:rsidP="00283234">
            <w:pPr>
              <w:autoSpaceDE w:val="0"/>
              <w:autoSpaceDN w:val="0"/>
              <w:adjustRightInd w:val="0"/>
              <w:spacing w:after="0" w:line="240" w:lineRule="auto"/>
              <w:rPr>
                <w:rFonts w:ascii="Calibri" w:eastAsia="Times New Roman" w:hAnsi="Times New Roman" w:cs="Calibri"/>
                <w:color w:val="FF0000"/>
                <w:kern w:val="24"/>
                <w:sz w:val="24"/>
                <w:szCs w:val="24"/>
              </w:rPr>
            </w:pPr>
            <w:r>
              <w:rPr>
                <w:rFonts w:ascii="Calibri" w:eastAsia="Times New Roman" w:hAnsi="Times New Roman" w:cs="Calibri"/>
                <w:color w:val="FF0000"/>
                <w:kern w:val="24"/>
                <w:sz w:val="24"/>
                <w:szCs w:val="24"/>
              </w:rPr>
              <w:t>*CLICK* The updated language states:</w:t>
            </w:r>
          </w:p>
          <w:p w14:paraId="5E5385AD" w14:textId="77777777" w:rsidR="00283234" w:rsidRDefault="00283234" w:rsidP="00283234">
            <w:pPr>
              <w:autoSpaceDE w:val="0"/>
              <w:autoSpaceDN w:val="0"/>
              <w:adjustRightInd w:val="0"/>
              <w:spacing w:after="0" w:line="240" w:lineRule="auto"/>
              <w:rPr>
                <w:rFonts w:ascii="Calibri" w:eastAsia="Times New Roman" w:hAnsi="Times New Roman" w:cs="Calibri"/>
                <w:color w:val="FF0000"/>
                <w:kern w:val="24"/>
                <w:sz w:val="24"/>
                <w:szCs w:val="24"/>
              </w:rPr>
            </w:pPr>
          </w:p>
          <w:p w14:paraId="453C1DC2" w14:textId="77777777" w:rsidR="00283234" w:rsidRDefault="00283234" w:rsidP="00283234">
            <w:pPr>
              <w:autoSpaceDE w:val="0"/>
              <w:autoSpaceDN w:val="0"/>
              <w:adjustRightInd w:val="0"/>
              <w:spacing w:after="0" w:line="240" w:lineRule="auto"/>
              <w:ind w:left="720"/>
              <w:rPr>
                <w:rFonts w:ascii="Calibri" w:eastAsia="Times New Roman" w:hAnsi="Times New Roman" w:cs="Calibri"/>
                <w:i/>
                <w:iCs/>
                <w:kern w:val="24"/>
                <w:sz w:val="24"/>
                <w:szCs w:val="24"/>
              </w:rPr>
            </w:pPr>
            <w:r>
              <w:rPr>
                <w:rFonts w:ascii="Calibri" w:eastAsia="Times New Roman" w:hAnsi="Times New Roman" w:cs="Calibri"/>
                <w:i/>
                <w:iCs/>
                <w:kern w:val="24"/>
                <w:sz w:val="24"/>
                <w:szCs w:val="24"/>
              </w:rPr>
              <w:lastRenderedPageBreak/>
              <w:t>REALTORS</w:t>
            </w:r>
            <w:r>
              <w:rPr>
                <w:rFonts w:ascii="Calibri" w:eastAsia="Times New Roman" w:hAnsi="Times New Roman" w:cs="Calibri"/>
                <w:i/>
                <w:iCs/>
                <w:kern w:val="24"/>
                <w:sz w:val="24"/>
                <w:szCs w:val="24"/>
              </w:rPr>
              <w:t>®</w:t>
            </w:r>
            <w:r>
              <w:rPr>
                <w:rFonts w:ascii="Calibri" w:eastAsia="Times New Roman" w:hAnsi="Times New Roman" w:cs="Calibri"/>
                <w:i/>
                <w:iCs/>
                <w:kern w:val="24"/>
                <w:sz w:val="24"/>
                <w:szCs w:val="24"/>
              </w:rPr>
              <w:t xml:space="preserve"> must not represent that their brokerage services to a client or customer are free or available at no cost to their </w:t>
            </w:r>
            <w:proofErr w:type="gramStart"/>
            <w:r>
              <w:rPr>
                <w:rFonts w:ascii="Calibri" w:eastAsia="Times New Roman" w:hAnsi="Times New Roman" w:cs="Calibri"/>
                <w:i/>
                <w:iCs/>
                <w:kern w:val="24"/>
                <w:sz w:val="24"/>
                <w:szCs w:val="24"/>
              </w:rPr>
              <w:t>clients, unless</w:t>
            </w:r>
            <w:proofErr w:type="gramEnd"/>
            <w:r>
              <w:rPr>
                <w:rFonts w:ascii="Calibri" w:eastAsia="Times New Roman" w:hAnsi="Times New Roman" w:cs="Calibri"/>
                <w:i/>
                <w:iCs/>
                <w:kern w:val="24"/>
                <w:sz w:val="24"/>
                <w:szCs w:val="24"/>
              </w:rPr>
              <w:t xml:space="preserve"> the REALTOR</w:t>
            </w:r>
            <w:r>
              <w:rPr>
                <w:rFonts w:ascii="Calibri" w:eastAsia="Times New Roman" w:hAnsi="Times New Roman" w:cs="Calibri"/>
                <w:i/>
                <w:iCs/>
                <w:kern w:val="24"/>
                <w:sz w:val="24"/>
                <w:szCs w:val="24"/>
              </w:rPr>
              <w:t>®</w:t>
            </w:r>
            <w:r>
              <w:rPr>
                <w:rFonts w:ascii="Calibri" w:eastAsia="Times New Roman" w:hAnsi="Times New Roman" w:cs="Calibri"/>
                <w:i/>
                <w:iCs/>
                <w:kern w:val="24"/>
                <w:sz w:val="24"/>
                <w:szCs w:val="24"/>
              </w:rPr>
              <w:t xml:space="preserve"> will receive no financial compensation from any source for those services.</w:t>
            </w:r>
          </w:p>
          <w:p w14:paraId="2E4E6223" w14:textId="77777777" w:rsidR="00283234" w:rsidRDefault="00283234" w:rsidP="00283234">
            <w:pPr>
              <w:autoSpaceDE w:val="0"/>
              <w:autoSpaceDN w:val="0"/>
              <w:adjustRightInd w:val="0"/>
              <w:spacing w:after="0" w:line="240" w:lineRule="auto"/>
              <w:rPr>
                <w:rFonts w:ascii="Calibri" w:eastAsia="Times New Roman" w:hAnsi="Times New Roman" w:cs="Calibri"/>
                <w:color w:val="FF0000"/>
                <w:kern w:val="24"/>
                <w:sz w:val="24"/>
                <w:szCs w:val="24"/>
              </w:rPr>
            </w:pPr>
          </w:p>
          <w:p w14:paraId="10179735"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w:t>
            </w:r>
          </w:p>
          <w:p w14:paraId="74109275"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sidRPr="00283234">
              <w:rPr>
                <w:rFonts w:ascii="Calibri" w:eastAsia="Times New Roman" w:hAnsi="Times New Roman" w:cs="Calibri"/>
                <w:color w:val="FF0000"/>
                <w:kern w:val="24"/>
                <w:sz w:val="24"/>
                <w:szCs w:val="24"/>
              </w:rPr>
              <w:t>If you, as the agent, are truly receiving no payment, then you can still represent your services as free.</w:t>
            </w:r>
            <w:r>
              <w:rPr>
                <w:rFonts w:ascii="Calibri" w:eastAsia="Times New Roman" w:hAnsi="Times New Roman" w:cs="Calibri"/>
                <w:color w:val="FF0000"/>
                <w:kern w:val="24"/>
                <w:sz w:val="24"/>
                <w:szCs w:val="24"/>
              </w:rPr>
              <w:t xml:space="preserve"> However, if you are being paid by anyone, then you must not represent your services as free. While this doesn</w:t>
            </w:r>
            <w:r>
              <w:rPr>
                <w:rFonts w:ascii="Calibri" w:eastAsia="Times New Roman" w:hAnsi="Times New Roman" w:cs="Calibri"/>
                <w:color w:val="FF0000"/>
                <w:kern w:val="24"/>
                <w:sz w:val="24"/>
                <w:szCs w:val="24"/>
              </w:rPr>
              <w:t>’</w:t>
            </w:r>
            <w:r>
              <w:rPr>
                <w:rFonts w:ascii="Calibri" w:eastAsia="Times New Roman" w:hAnsi="Times New Roman" w:cs="Calibri"/>
                <w:color w:val="FF0000"/>
                <w:kern w:val="24"/>
                <w:sz w:val="24"/>
                <w:szCs w:val="24"/>
              </w:rPr>
              <w:t xml:space="preserve">t go into effect until January 1, 2022 </w:t>
            </w:r>
            <w:r>
              <w:rPr>
                <w:rFonts w:ascii="Calibri" w:eastAsia="Times New Roman" w:hAnsi="Times New Roman" w:cs="Calibri"/>
                <w:color w:val="FF0000"/>
                <w:kern w:val="24"/>
                <w:sz w:val="24"/>
                <w:szCs w:val="24"/>
              </w:rPr>
              <w:t>–</w:t>
            </w:r>
            <w:r>
              <w:rPr>
                <w:rFonts w:ascii="Calibri" w:eastAsia="Times New Roman" w:hAnsi="Times New Roman" w:cs="Calibri"/>
                <w:color w:val="FF0000"/>
                <w:kern w:val="24"/>
                <w:sz w:val="24"/>
                <w:szCs w:val="24"/>
              </w:rPr>
              <w:t xml:space="preserve"> it is a good idea to review your advertising now to see what you might need to update in time for that January 1</w:t>
            </w:r>
            <w:r>
              <w:rPr>
                <w:rFonts w:ascii="Calibri" w:eastAsia="Times New Roman" w:hAnsi="Times New Roman" w:cs="Calibri"/>
                <w:color w:val="FF0000"/>
                <w:kern w:val="24"/>
                <w:sz w:val="24"/>
                <w:szCs w:val="24"/>
                <w:vertAlign w:val="superscript"/>
              </w:rPr>
              <w:t>st</w:t>
            </w:r>
            <w:r>
              <w:rPr>
                <w:rFonts w:ascii="Calibri" w:eastAsia="Times New Roman" w:hAnsi="Times New Roman" w:cs="Calibri"/>
                <w:color w:val="FF0000"/>
                <w:kern w:val="24"/>
                <w:sz w:val="24"/>
                <w:szCs w:val="24"/>
              </w:rPr>
              <w:t xml:space="preserve"> change. </w:t>
            </w:r>
          </w:p>
          <w:p w14:paraId="3ACF9A46" w14:textId="77777777" w:rsidR="00283234" w:rsidRDefault="00283234" w:rsidP="00283234">
            <w:pPr>
              <w:autoSpaceDE w:val="0"/>
              <w:autoSpaceDN w:val="0"/>
              <w:adjustRightInd w:val="0"/>
              <w:spacing w:after="0" w:line="240" w:lineRule="auto"/>
              <w:rPr>
                <w:rFonts w:ascii="Calibri" w:hAnsi="Calibri" w:cs="Calibri"/>
                <w:kern w:val="24"/>
                <w:sz w:val="24"/>
                <w:szCs w:val="24"/>
              </w:rPr>
            </w:pPr>
          </w:p>
          <w:p w14:paraId="495E4E5D" w14:textId="77777777" w:rsidR="00283234" w:rsidRDefault="00283234" w:rsidP="00283234">
            <w:pPr>
              <w:autoSpaceDE w:val="0"/>
              <w:autoSpaceDN w:val="0"/>
              <w:adjustRightInd w:val="0"/>
              <w:spacing w:after="0" w:line="240" w:lineRule="auto"/>
              <w:rPr>
                <w:rFonts w:ascii="Arial" w:hAnsi="Arial" w:cs="Arial"/>
                <w:sz w:val="24"/>
                <w:szCs w:val="24"/>
              </w:rPr>
            </w:pPr>
          </w:p>
          <w:p w14:paraId="7BE24878" w14:textId="77777777" w:rsidR="00283234" w:rsidRDefault="00283234"/>
        </w:tc>
      </w:tr>
      <w:tr w:rsidR="00283234" w14:paraId="24FEE8FC" w14:textId="77777777" w:rsidTr="00283234">
        <w:trPr>
          <w:trHeight w:val="4000"/>
        </w:trPr>
        <w:tc>
          <w:tcPr>
            <w:tcW w:w="1368" w:type="dxa"/>
          </w:tcPr>
          <w:p w14:paraId="19B17626" w14:textId="632DA0EB" w:rsidR="00283234" w:rsidRDefault="00283234">
            <w:r>
              <w:lastRenderedPageBreak/>
              <w:t>Slide 5</w:t>
            </w:r>
          </w:p>
        </w:tc>
        <w:tc>
          <w:tcPr>
            <w:tcW w:w="3996" w:type="dxa"/>
          </w:tcPr>
          <w:p w14:paraId="480E4441" w14:textId="3FF7C411" w:rsidR="00283234" w:rsidRDefault="009425E0">
            <w:r>
              <w:rPr>
                <w:noProof/>
              </w:rPr>
              <w:object w:dxaOrig="9587" w:dyaOrig="5403" w14:anchorId="3EB8D039">
                <v:shape id="_x0000_i1027" type="#_x0000_t75" alt="" style="width:192pt;height:108.35pt;mso-width-percent:0;mso-height-percent:0;mso-width-percent:0;mso-height-percent:0" o:ole="" o:bordertopcolor="this" o:borderleftcolor="this" o:borderbottomcolor="this" o:borderrightcolor="this">
                  <v:imagedata r:id="rId16" o:title=""/>
                  <w10:bordertop type="single" width="4" shadow="t"/>
                  <w10:borderleft type="single" width="4" shadow="t"/>
                  <w10:borderbottom type="single" width="4" shadow="t"/>
                  <w10:borderright type="single" width="4" shadow="t"/>
                </v:shape>
                <o:OLEObject Type="Embed" ProgID="PowerPoint.Slide.12" ShapeID="_x0000_i1027" DrawAspect="Content" ObjectID="_1700292697" r:id="rId17"/>
              </w:object>
            </w:r>
          </w:p>
        </w:tc>
        <w:tc>
          <w:tcPr>
            <w:tcW w:w="3996" w:type="dxa"/>
          </w:tcPr>
          <w:p w14:paraId="7D710078" w14:textId="77777777" w:rsidR="00283234" w:rsidRDefault="00283234" w:rsidP="0028323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You will remember that last November, the NAR added a new Standard of Practice until Article 10 reading “REALTORS® must not use harassing speech, hate speech, epithets, or slurs based on race, color, religion, sex, handicap, familial status, national origin, sexual orientation, or gender identity.”   </w:t>
            </w:r>
          </w:p>
          <w:p w14:paraId="732BF4FA" w14:textId="77777777" w:rsidR="00283234" w:rsidRDefault="00283234" w:rsidP="00283234">
            <w:pPr>
              <w:autoSpaceDE w:val="0"/>
              <w:autoSpaceDN w:val="0"/>
              <w:adjustRightInd w:val="0"/>
              <w:spacing w:after="0" w:line="240" w:lineRule="auto"/>
              <w:rPr>
                <w:rFonts w:ascii="Calibri" w:hAnsi="Calibri" w:cs="Calibri"/>
                <w:kern w:val="24"/>
                <w:sz w:val="24"/>
                <w:szCs w:val="24"/>
              </w:rPr>
            </w:pPr>
          </w:p>
          <w:p w14:paraId="7861FE8C" w14:textId="77777777" w:rsidR="00283234" w:rsidRDefault="00283234" w:rsidP="00283234">
            <w:pPr>
              <w:autoSpaceDE w:val="0"/>
              <w:autoSpaceDN w:val="0"/>
              <w:adjustRightInd w:val="0"/>
              <w:spacing w:after="0" w:line="240" w:lineRule="auto"/>
              <w:rPr>
                <w:rFonts w:ascii="Calibri" w:hAnsi="Calibri" w:cs="Calibri"/>
                <w:kern w:val="24"/>
                <w:sz w:val="24"/>
                <w:szCs w:val="24"/>
              </w:rPr>
            </w:pPr>
          </w:p>
          <w:p w14:paraId="626F3812" w14:textId="77777777" w:rsidR="00283234" w:rsidRDefault="00283234" w:rsidP="00283234">
            <w:pPr>
              <w:autoSpaceDE w:val="0"/>
              <w:autoSpaceDN w:val="0"/>
              <w:adjustRightInd w:val="0"/>
              <w:spacing w:after="0" w:line="240" w:lineRule="auto"/>
              <w:rPr>
                <w:rFonts w:ascii="Arial" w:hAnsi="Arial" w:cs="Arial"/>
                <w:sz w:val="24"/>
                <w:szCs w:val="24"/>
              </w:rPr>
            </w:pPr>
          </w:p>
          <w:p w14:paraId="665D5125" w14:textId="77777777" w:rsidR="00283234" w:rsidRDefault="00283234"/>
        </w:tc>
      </w:tr>
      <w:tr w:rsidR="00283234" w14:paraId="053BB39A" w14:textId="77777777" w:rsidTr="00283234">
        <w:trPr>
          <w:trHeight w:val="4000"/>
        </w:trPr>
        <w:tc>
          <w:tcPr>
            <w:tcW w:w="1368" w:type="dxa"/>
          </w:tcPr>
          <w:p w14:paraId="7BA2181E" w14:textId="40A29EE8" w:rsidR="00283234" w:rsidRDefault="00283234">
            <w:r>
              <w:lastRenderedPageBreak/>
              <w:t>Slide 6</w:t>
            </w:r>
          </w:p>
        </w:tc>
        <w:tc>
          <w:tcPr>
            <w:tcW w:w="3996" w:type="dxa"/>
          </w:tcPr>
          <w:p w14:paraId="14843B99" w14:textId="2D700FEC" w:rsidR="00283234" w:rsidRDefault="009425E0">
            <w:r>
              <w:rPr>
                <w:noProof/>
              </w:rPr>
              <w:object w:dxaOrig="9587" w:dyaOrig="5403" w14:anchorId="1B11DD1B">
                <v:shape id="_x0000_i1026" type="#_x0000_t75" alt="" style="width:192pt;height:108.35pt;mso-width-percent:0;mso-height-percent:0;mso-width-percent:0;mso-height-percent:0" o:ole="" o:bordertopcolor="this" o:borderleftcolor="this" o:borderbottomcolor="this" o:borderrightcolor="this">
                  <v:imagedata r:id="rId18" o:title=""/>
                  <w10:bordertop type="single" width="4" shadow="t"/>
                  <w10:borderleft type="single" width="4" shadow="t"/>
                  <w10:borderbottom type="single" width="4" shadow="t"/>
                  <w10:borderright type="single" width="4" shadow="t"/>
                </v:shape>
                <o:OLEObject Type="Embed" ProgID="PowerPoint.Slide.12" ShapeID="_x0000_i1026" DrawAspect="Content" ObjectID="_1700292698" r:id="rId19"/>
              </w:object>
            </w:r>
          </w:p>
        </w:tc>
        <w:tc>
          <w:tcPr>
            <w:tcW w:w="3996" w:type="dxa"/>
          </w:tcPr>
          <w:p w14:paraId="04877B5A"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Professional Standard Committee added </w:t>
            </w:r>
            <w:proofErr w:type="gramStart"/>
            <w:r>
              <w:rPr>
                <w:rFonts w:ascii="Calibri" w:eastAsia="Times New Roman" w:hAnsi="Times New Roman" w:cs="Calibri"/>
                <w:kern w:val="24"/>
                <w:sz w:val="24"/>
                <w:szCs w:val="24"/>
              </w:rPr>
              <w:t>a number of</w:t>
            </w:r>
            <w:proofErr w:type="gramEnd"/>
            <w:r>
              <w:rPr>
                <w:rFonts w:ascii="Calibri" w:eastAsia="Times New Roman" w:hAnsi="Times New Roman" w:cs="Calibri"/>
                <w:kern w:val="24"/>
                <w:sz w:val="24"/>
                <w:szCs w:val="24"/>
              </w:rPr>
              <w:t xml:space="preserve"> case interpretations related to Article 10, Standard of Practice 10-5 to provide additional context and understanding in the application of this Standard of Practice. These are available on NAR</w:t>
            </w:r>
            <w:r>
              <w:rPr>
                <w:rFonts w:ascii="Calibri" w:eastAsia="Times New Roman" w:hAnsi="Times New Roman" w:cs="Calibri"/>
                <w:kern w:val="24"/>
                <w:sz w:val="24"/>
                <w:szCs w:val="24"/>
              </w:rPr>
              <w:t>’</w:t>
            </w:r>
            <w:r>
              <w:rPr>
                <w:rFonts w:ascii="Calibri" w:eastAsia="Times New Roman" w:hAnsi="Times New Roman" w:cs="Calibri"/>
                <w:kern w:val="24"/>
                <w:sz w:val="24"/>
                <w:szCs w:val="24"/>
              </w:rPr>
              <w:t xml:space="preserve">s website if you are interested in reading them and learning more about the application of Article 10, Standard of Practice 10-5. </w:t>
            </w:r>
          </w:p>
          <w:p w14:paraId="5C93E35E"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p>
          <w:p w14:paraId="3086656A" w14:textId="77777777" w:rsidR="00283234" w:rsidRDefault="00283234" w:rsidP="00283234">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They can be accessed via the website on the slide. I</w:t>
            </w:r>
            <w:r>
              <w:rPr>
                <w:rFonts w:ascii="Calibri" w:eastAsia="Times New Roman" w:hAnsi="Times New Roman" w:cs="Calibri"/>
                <w:kern w:val="24"/>
                <w:sz w:val="24"/>
                <w:szCs w:val="24"/>
              </w:rPr>
              <w:t>’</w:t>
            </w:r>
            <w:r>
              <w:rPr>
                <w:rFonts w:ascii="Calibri" w:eastAsia="Times New Roman" w:hAnsi="Times New Roman" w:cs="Calibri"/>
                <w:kern w:val="24"/>
                <w:sz w:val="24"/>
                <w:szCs w:val="24"/>
              </w:rPr>
              <w:t>ve included one of the several that were added as well.</w:t>
            </w:r>
          </w:p>
          <w:p w14:paraId="2EED6C4D" w14:textId="77777777" w:rsidR="00283234" w:rsidRDefault="00283234" w:rsidP="00283234">
            <w:pPr>
              <w:autoSpaceDE w:val="0"/>
              <w:autoSpaceDN w:val="0"/>
              <w:adjustRightInd w:val="0"/>
              <w:spacing w:after="0" w:line="240" w:lineRule="auto"/>
              <w:rPr>
                <w:rFonts w:ascii="Arial" w:hAnsi="Arial" w:cs="Arial"/>
                <w:sz w:val="24"/>
                <w:szCs w:val="24"/>
              </w:rPr>
            </w:pPr>
          </w:p>
          <w:p w14:paraId="2FEF2A6F" w14:textId="77777777" w:rsidR="00283234" w:rsidRDefault="00283234"/>
        </w:tc>
      </w:tr>
      <w:tr w:rsidR="00283234" w14:paraId="1772DF32" w14:textId="77777777" w:rsidTr="00283234">
        <w:trPr>
          <w:trHeight w:val="4000"/>
        </w:trPr>
        <w:tc>
          <w:tcPr>
            <w:tcW w:w="1368" w:type="dxa"/>
          </w:tcPr>
          <w:p w14:paraId="523D38C2" w14:textId="656082D0" w:rsidR="00283234" w:rsidRDefault="00283234">
            <w:r>
              <w:t>Slide 7</w:t>
            </w:r>
          </w:p>
        </w:tc>
        <w:tc>
          <w:tcPr>
            <w:tcW w:w="3996" w:type="dxa"/>
          </w:tcPr>
          <w:p w14:paraId="11B74B5D" w14:textId="52278022" w:rsidR="00283234" w:rsidRDefault="009425E0">
            <w:r>
              <w:rPr>
                <w:noProof/>
              </w:rPr>
              <w:object w:dxaOrig="9587" w:dyaOrig="5403" w14:anchorId="61D9C141">
                <v:shape id="_x0000_i1025" type="#_x0000_t75" alt="" style="width:192pt;height:108.35pt;mso-width-percent:0;mso-height-percent:0;mso-width-percent:0;mso-height-percent:0" o:ole="" o:bordertopcolor="this" o:borderleftcolor="this" o:borderbottomcolor="this" o:borderrightcolor="this">
                  <v:imagedata r:id="rId20" o:title=""/>
                  <w10:bordertop type="single" width="4" shadow="t"/>
                  <w10:borderleft type="single" width="4" shadow="t"/>
                  <w10:borderbottom type="single" width="4" shadow="t"/>
                  <w10:borderright type="single" width="4" shadow="t"/>
                </v:shape>
                <o:OLEObject Type="Embed" ProgID="PowerPoint.Slide.12" ShapeID="_x0000_i1025" DrawAspect="Content" ObjectID="_1700292699" r:id="rId21"/>
              </w:object>
            </w:r>
          </w:p>
        </w:tc>
        <w:tc>
          <w:tcPr>
            <w:tcW w:w="3996" w:type="dxa"/>
          </w:tcPr>
          <w:p w14:paraId="3FD2DCF1" w14:textId="77777777" w:rsidR="00283234" w:rsidRDefault="00283234"/>
        </w:tc>
      </w:tr>
    </w:tbl>
    <w:p w14:paraId="4C74A653" w14:textId="77777777" w:rsidR="00A1000F" w:rsidRDefault="00A1000F"/>
    <w:sectPr w:rsidR="00A1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14CABE"/>
    <w:lvl w:ilvl="0">
      <w:numFmt w:val="bullet"/>
      <w:lvlText w:val="*"/>
      <w:lvlJc w:val="left"/>
    </w:lvl>
  </w:abstractNum>
  <w:num w:numId="1">
    <w:abstractNumId w:val="0"/>
    <w:lvlOverride w:ilvl="0">
      <w:lvl w:ilvl="0">
        <w:numFmt w:val="bullet"/>
        <w:lvlText w:val="•"/>
        <w:legacy w:legacy="1" w:legacySpace="0" w:legacyIndent="0"/>
        <w:lvlJc w:val="left"/>
        <w:rPr>
          <w:rFonts w:ascii="Calibri" w:hAnsi="Calibri" w:cs="Calibri"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34"/>
    <w:rsid w:val="00283234"/>
    <w:rsid w:val="00326E46"/>
    <w:rsid w:val="0077655E"/>
    <w:rsid w:val="009425E0"/>
    <w:rsid w:val="00A1000F"/>
    <w:rsid w:val="00B4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9D7D"/>
  <w15:chartTrackingRefBased/>
  <w15:docId w15:val="{4C0C0034-38FC-4158-811F-4F71183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Slide2.sldx"/><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PowerPoint_Slide6.sldx"/><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package" Target="embeddings/Microsoft_PowerPoint_Slide4.sl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PowerPoint_Slide1.sldx"/><Relationship Id="rId5" Type="http://schemas.openxmlformats.org/officeDocument/2006/relationships/styles" Target="styles.xml"/><Relationship Id="rId15" Type="http://schemas.openxmlformats.org/officeDocument/2006/relationships/package" Target="embeddings/Microsoft_PowerPoint_Slide3.sl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PowerPoint_Slide5.sldx"/><Relationship Id="rId4" Type="http://schemas.openxmlformats.org/officeDocument/2006/relationships/numbering" Target="numbering.xml"/><Relationship Id="rId9" Type="http://schemas.openxmlformats.org/officeDocument/2006/relationships/package" Target="embeddings/Microsoft_PowerPoint_Slide.sl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7" ma:contentTypeDescription="Create a new document." ma:contentTypeScope="" ma:versionID="82857f8b4d616899b132435e0132ee50">
  <xsd:schema xmlns:xsd="http://www.w3.org/2001/XMLSchema" xmlns:xs="http://www.w3.org/2001/XMLSchema" xmlns:p="http://schemas.microsoft.com/office/2006/metadata/properties" xmlns:ns2="ed82d5ce-ac55-4faf-b302-f86d2c2d6074" xmlns:ns3="c25606f7-3c0a-4023-9f62-0ff088a46964" targetNamespace="http://schemas.microsoft.com/office/2006/metadata/properties" ma:root="true" ma:fieldsID="06cd592d0cca53112f9c3805eed4537f" ns2:_="" ns3:_="">
    <xsd:import namespace="ed82d5ce-ac55-4faf-b302-f86d2c2d6074"/>
    <xsd:import namespace="c25606f7-3c0a-4023-9f62-0ff088a46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606f7-3c0a-4023-9f62-0ff088a46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3EAFB-0F98-493E-953E-8CA96A48B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C1BEC-64D0-4A4E-AA83-FDC0454D5233}">
  <ds:schemaRefs>
    <ds:schemaRef ds:uri="http://schemas.microsoft.com/sharepoint/v3/contenttype/forms"/>
  </ds:schemaRefs>
</ds:datastoreItem>
</file>

<file path=customXml/itemProps3.xml><?xml version="1.0" encoding="utf-8"?>
<ds:datastoreItem xmlns:ds="http://schemas.openxmlformats.org/officeDocument/2006/customXml" ds:itemID="{446C80C7-39BC-4D83-9077-D244D3B39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c25606f7-3c0a-4023-9f62-0ff088a4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Laura Jones</cp:lastModifiedBy>
  <cp:revision>2</cp:revision>
  <dcterms:created xsi:type="dcterms:W3CDTF">2021-12-06T15:45:00Z</dcterms:created>
  <dcterms:modified xsi:type="dcterms:W3CDTF">2021-12-06T15:45:00Z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