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787F" w14:textId="4A4B7139" w:rsidR="000E6E54" w:rsidRDefault="00BB1F02" w:rsidP="00BA4F47">
      <w:pPr>
        <w:rPr>
          <w:rFonts w:cstheme="minorHAnsi"/>
        </w:rPr>
      </w:pPr>
      <w:r>
        <w:rPr>
          <w:rFonts w:cstheme="minorHAnsi"/>
          <w:noProof/>
        </w:rPr>
        <w:drawing>
          <wp:inline distT="0" distB="0" distL="0" distR="0" wp14:anchorId="4B4384F4" wp14:editId="670ED705">
            <wp:extent cx="5943600" cy="1174115"/>
            <wp:effectExtent l="0" t="0" r="0" b="0"/>
            <wp:docPr id="2" name="Picture 2" descr="A picture containing char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17411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7"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446CC1AB" w14:textId="77777777" w:rsidR="00EF2F38" w:rsidRDefault="00EF2F38" w:rsidP="009A2A50">
      <w:pPr>
        <w:jc w:val="center"/>
        <w:rPr>
          <w:rFonts w:asciiTheme="minorHAnsi" w:hAnsiTheme="minorHAnsi" w:cstheme="minorHAnsi"/>
          <w:b/>
          <w:bCs/>
          <w:sz w:val="22"/>
          <w:szCs w:val="22"/>
        </w:rPr>
      </w:pPr>
    </w:p>
    <w:p w14:paraId="1B0AD747" w14:textId="77777777" w:rsidR="00532D0B" w:rsidRPr="00532D0B" w:rsidRDefault="00532D0B" w:rsidP="00532D0B">
      <w:pPr>
        <w:shd w:val="clear" w:color="auto" w:fill="FFFFFF"/>
        <w:spacing w:line="231" w:lineRule="atLeast"/>
        <w:jc w:val="center"/>
        <w:rPr>
          <w:rFonts w:ascii="Calibri" w:hAnsi="Calibri" w:cs="Calibri"/>
          <w:b/>
          <w:bCs/>
          <w:color w:val="201F1E"/>
          <w:sz w:val="22"/>
          <w:szCs w:val="22"/>
        </w:rPr>
      </w:pPr>
      <w:r w:rsidRPr="00532D0B">
        <w:rPr>
          <w:rFonts w:ascii="Calibri" w:hAnsi="Calibri" w:cs="Calibri"/>
          <w:b/>
          <w:bCs/>
          <w:color w:val="201F1E"/>
          <w:sz w:val="22"/>
          <w:szCs w:val="22"/>
          <w:bdr w:val="none" w:sz="0" w:space="0" w:color="auto" w:frame="1"/>
        </w:rPr>
        <w:t>Improvements in Virginia’s Commercial Market Being Driven by a Drive Towards Quality</w:t>
      </w:r>
    </w:p>
    <w:p w14:paraId="2039FE7E" w14:textId="19D52048" w:rsidR="002C08C9" w:rsidRPr="009979D1" w:rsidRDefault="009979D1" w:rsidP="002C08C9">
      <w:pPr>
        <w:jc w:val="center"/>
        <w:rPr>
          <w:rFonts w:asciiTheme="minorHAnsi" w:hAnsiTheme="minorHAnsi" w:cstheme="minorHAnsi"/>
          <w:i/>
          <w:iCs/>
        </w:rPr>
      </w:pPr>
      <w:r w:rsidRPr="009979D1">
        <w:rPr>
          <w:rFonts w:asciiTheme="minorHAnsi" w:hAnsiTheme="minorHAnsi" w:cstheme="minorHAnsi"/>
          <w:i/>
          <w:iCs/>
        </w:rPr>
        <w:t xml:space="preserve">Companies seek amenities </w:t>
      </w:r>
      <w:r>
        <w:rPr>
          <w:rFonts w:asciiTheme="minorHAnsi" w:hAnsiTheme="minorHAnsi" w:cstheme="minorHAnsi"/>
          <w:i/>
          <w:iCs/>
        </w:rPr>
        <w:t>&amp;</w:t>
      </w:r>
      <w:r w:rsidRPr="009979D1">
        <w:rPr>
          <w:rFonts w:asciiTheme="minorHAnsi" w:hAnsiTheme="minorHAnsi" w:cstheme="minorHAnsi"/>
          <w:i/>
          <w:iCs/>
        </w:rPr>
        <w:t xml:space="preserve"> flexible space for the return to </w:t>
      </w:r>
      <w:r>
        <w:rPr>
          <w:rFonts w:asciiTheme="minorHAnsi" w:hAnsiTheme="minorHAnsi" w:cstheme="minorHAnsi"/>
          <w:i/>
          <w:iCs/>
        </w:rPr>
        <w:t xml:space="preserve">in-office </w:t>
      </w:r>
      <w:r w:rsidRPr="009979D1">
        <w:rPr>
          <w:rFonts w:asciiTheme="minorHAnsi" w:hAnsiTheme="minorHAnsi" w:cstheme="minorHAnsi"/>
          <w:i/>
          <w:iCs/>
        </w:rPr>
        <w:t>work</w:t>
      </w:r>
    </w:p>
    <w:p w14:paraId="53C70116" w14:textId="3BAD5559" w:rsidR="00397702" w:rsidRPr="00EF2B35" w:rsidRDefault="00F45D5D" w:rsidP="00C90AE2">
      <w:pPr>
        <w:pStyle w:val="NormalWeb"/>
        <w:rPr>
          <w:rFonts w:asciiTheme="minorHAnsi" w:hAnsiTheme="minorHAnsi" w:cstheme="minorHAnsi"/>
          <w:sz w:val="22"/>
          <w:szCs w:val="22"/>
        </w:rPr>
      </w:pPr>
      <w:r w:rsidRPr="004B3C57">
        <w:rPr>
          <w:rFonts w:asciiTheme="minorHAnsi" w:hAnsiTheme="minorHAnsi" w:cstheme="minorHAnsi"/>
          <w:sz w:val="22"/>
          <w:szCs w:val="22"/>
        </w:rPr>
        <w:t>Richmond</w:t>
      </w:r>
      <w:r w:rsidR="00BA4F47" w:rsidRPr="004B3C57">
        <w:rPr>
          <w:rFonts w:asciiTheme="minorHAnsi" w:hAnsiTheme="minorHAnsi" w:cstheme="minorHAnsi"/>
          <w:sz w:val="22"/>
          <w:szCs w:val="22"/>
        </w:rPr>
        <w:t>, VA – (</w:t>
      </w:r>
      <w:r w:rsidR="00C90AE2">
        <w:rPr>
          <w:rFonts w:asciiTheme="minorHAnsi" w:hAnsiTheme="minorHAnsi" w:cstheme="minorHAnsi"/>
          <w:sz w:val="22"/>
          <w:szCs w:val="22"/>
        </w:rPr>
        <w:t>October 18</w:t>
      </w:r>
      <w:r w:rsidR="00BA4F47" w:rsidRPr="004B3C57">
        <w:rPr>
          <w:rFonts w:asciiTheme="minorHAnsi" w:hAnsiTheme="minorHAnsi" w:cstheme="minorHAnsi"/>
          <w:sz w:val="22"/>
          <w:szCs w:val="22"/>
        </w:rPr>
        <w:t xml:space="preserve">, </w:t>
      </w:r>
      <w:r w:rsidR="00AB2434" w:rsidRPr="004B3C57">
        <w:rPr>
          <w:rFonts w:asciiTheme="minorHAnsi" w:hAnsiTheme="minorHAnsi" w:cstheme="minorHAnsi"/>
          <w:sz w:val="22"/>
          <w:szCs w:val="22"/>
        </w:rPr>
        <w:t>202</w:t>
      </w:r>
      <w:r w:rsidR="00AD34AC" w:rsidRPr="004B3C57">
        <w:rPr>
          <w:rFonts w:asciiTheme="minorHAnsi" w:hAnsiTheme="minorHAnsi" w:cstheme="minorHAnsi"/>
          <w:sz w:val="22"/>
          <w:szCs w:val="22"/>
        </w:rPr>
        <w:t>1</w:t>
      </w:r>
      <w:r w:rsidR="00BA4F47" w:rsidRPr="004B3C57">
        <w:rPr>
          <w:rFonts w:asciiTheme="minorHAnsi" w:hAnsiTheme="minorHAnsi" w:cstheme="minorHAnsi"/>
          <w:sz w:val="22"/>
          <w:szCs w:val="22"/>
        </w:rPr>
        <w:t xml:space="preserve">) – </w:t>
      </w:r>
      <w:r w:rsidR="000039A5" w:rsidRPr="004B3C57">
        <w:rPr>
          <w:rFonts w:asciiTheme="minorHAnsi" w:hAnsiTheme="minorHAnsi" w:cstheme="minorHAnsi"/>
          <w:sz w:val="22"/>
          <w:szCs w:val="22"/>
        </w:rPr>
        <w:t xml:space="preserve">According to the </w:t>
      </w:r>
      <w:hyperlink r:id="rId8" w:history="1">
        <w:r w:rsidR="003B4111" w:rsidRPr="00496C0F">
          <w:rPr>
            <w:rStyle w:val="Hyperlink"/>
            <w:rFonts w:asciiTheme="minorHAnsi" w:hAnsiTheme="minorHAnsi" w:cstheme="minorHAnsi"/>
            <w:sz w:val="22"/>
            <w:szCs w:val="22"/>
          </w:rPr>
          <w:t>Q</w:t>
        </w:r>
        <w:r w:rsidR="00C90AE2" w:rsidRPr="00496C0F">
          <w:rPr>
            <w:rStyle w:val="Hyperlink"/>
            <w:rFonts w:asciiTheme="minorHAnsi" w:hAnsiTheme="minorHAnsi" w:cstheme="minorHAnsi"/>
            <w:sz w:val="22"/>
            <w:szCs w:val="22"/>
          </w:rPr>
          <w:t>3</w:t>
        </w:r>
        <w:r w:rsidR="003B4111" w:rsidRPr="00496C0F">
          <w:rPr>
            <w:rStyle w:val="Hyperlink"/>
            <w:rFonts w:asciiTheme="minorHAnsi" w:hAnsiTheme="minorHAnsi" w:cstheme="minorHAnsi"/>
            <w:sz w:val="22"/>
            <w:szCs w:val="22"/>
          </w:rPr>
          <w:t xml:space="preserve"> 2021 Commercial Market Report</w:t>
        </w:r>
      </w:hyperlink>
      <w:r w:rsidR="000039A5" w:rsidRPr="004B3C57">
        <w:rPr>
          <w:rFonts w:asciiTheme="minorHAnsi" w:hAnsiTheme="minorHAnsi" w:cstheme="minorHAnsi"/>
          <w:sz w:val="22"/>
          <w:szCs w:val="22"/>
        </w:rPr>
        <w:t xml:space="preserve"> released by</w:t>
      </w:r>
      <w:r w:rsidR="002D703D" w:rsidRPr="004B3C57">
        <w:rPr>
          <w:rFonts w:asciiTheme="minorHAnsi" w:hAnsiTheme="minorHAnsi" w:cstheme="minorHAnsi"/>
          <w:sz w:val="22"/>
          <w:szCs w:val="22"/>
        </w:rPr>
        <w:t xml:space="preserve"> </w:t>
      </w:r>
      <w:r w:rsidR="000039A5" w:rsidRPr="004B3C57">
        <w:rPr>
          <w:rFonts w:asciiTheme="minorHAnsi" w:hAnsiTheme="minorHAnsi" w:cstheme="minorHAnsi"/>
          <w:sz w:val="22"/>
          <w:szCs w:val="22"/>
        </w:rPr>
        <w:t>Virginia REALTORS®,</w:t>
      </w:r>
      <w:r w:rsidR="002C08C9" w:rsidRPr="004B3C57">
        <w:rPr>
          <w:rFonts w:asciiTheme="minorHAnsi" w:hAnsiTheme="minorHAnsi" w:cstheme="minorHAnsi"/>
          <w:color w:val="000000" w:themeColor="text1"/>
          <w:sz w:val="22"/>
          <w:szCs w:val="22"/>
        </w:rPr>
        <w:t xml:space="preserve"> </w:t>
      </w:r>
      <w:r w:rsidR="00532D0B">
        <w:rPr>
          <w:rFonts w:asciiTheme="minorHAnsi" w:hAnsiTheme="minorHAnsi" w:cstheme="minorHAnsi"/>
          <w:color w:val="000000" w:themeColor="text1"/>
          <w:sz w:val="22"/>
          <w:szCs w:val="22"/>
        </w:rPr>
        <w:t>while the Delta variant has slowed economic growth in Virginia, the state’s commercial real estate market showed signs of strength in the 3</w:t>
      </w:r>
      <w:r w:rsidR="00532D0B" w:rsidRPr="00532D0B">
        <w:rPr>
          <w:rFonts w:asciiTheme="minorHAnsi" w:hAnsiTheme="minorHAnsi" w:cstheme="minorHAnsi"/>
          <w:color w:val="000000" w:themeColor="text1"/>
          <w:sz w:val="22"/>
          <w:szCs w:val="22"/>
          <w:vertAlign w:val="superscript"/>
        </w:rPr>
        <w:t>rd</w:t>
      </w:r>
      <w:r w:rsidR="00532D0B">
        <w:rPr>
          <w:rFonts w:asciiTheme="minorHAnsi" w:hAnsiTheme="minorHAnsi" w:cstheme="minorHAnsi"/>
          <w:color w:val="000000" w:themeColor="text1"/>
          <w:sz w:val="22"/>
          <w:szCs w:val="22"/>
        </w:rPr>
        <w:t xml:space="preserve"> quarter.</w:t>
      </w:r>
    </w:p>
    <w:p w14:paraId="389E01FB" w14:textId="77777777" w:rsidR="00892505" w:rsidRPr="00892505" w:rsidRDefault="00892505" w:rsidP="00892505">
      <w:r w:rsidRPr="00892505">
        <w:rPr>
          <w:rFonts w:ascii="Calibri" w:hAnsi="Calibri" w:cs="Calibri"/>
          <w:color w:val="000000"/>
          <w:shd w:val="clear" w:color="auto" w:fill="FFFFFF"/>
        </w:rPr>
        <w:t>The 3rd quarter report reveals that </w:t>
      </w:r>
      <w:r w:rsidRPr="00892505">
        <w:rPr>
          <w:rFonts w:ascii="Calibri" w:hAnsi="Calibri" w:cs="Calibri"/>
          <w:color w:val="000000"/>
          <w:bdr w:val="none" w:sz="0" w:space="0" w:color="auto" w:frame="1"/>
          <w:shd w:val="clear" w:color="auto" w:fill="FFFFFF"/>
        </w:rPr>
        <w:t>office markets in the state’s large metro areas—Northern Virginia, Richmond, and Hampton Roads—have been more resilient than smaller markets.</w:t>
      </w:r>
    </w:p>
    <w:p w14:paraId="417A2D64" w14:textId="67C2379A" w:rsidR="00532D0B" w:rsidRPr="00532D0B" w:rsidRDefault="00532D0B" w:rsidP="00532D0B">
      <w:pPr>
        <w:shd w:val="clear" w:color="auto" w:fill="FFFFFF"/>
        <w:rPr>
          <w:rFonts w:ascii="Calibri" w:hAnsi="Calibri" w:cs="Calibri"/>
          <w:color w:val="201F1E"/>
          <w:sz w:val="22"/>
          <w:szCs w:val="22"/>
        </w:rPr>
      </w:pPr>
      <w:r w:rsidRPr="00532D0B">
        <w:rPr>
          <w:rFonts w:ascii="Calibri" w:hAnsi="Calibri" w:cs="Calibri"/>
          <w:color w:val="201F1E"/>
          <w:sz w:val="22"/>
          <w:szCs w:val="22"/>
        </w:rPr>
        <w:t xml:space="preserve">A key factor has been the strength of the </w:t>
      </w:r>
      <w:r>
        <w:rPr>
          <w:rFonts w:ascii="Calibri" w:hAnsi="Calibri" w:cs="Calibri"/>
          <w:color w:val="201F1E"/>
          <w:sz w:val="22"/>
          <w:szCs w:val="22"/>
        </w:rPr>
        <w:t xml:space="preserve">high-end, </w:t>
      </w:r>
      <w:r w:rsidRPr="00532D0B">
        <w:rPr>
          <w:rFonts w:ascii="Calibri" w:hAnsi="Calibri" w:cs="Calibri"/>
          <w:color w:val="201F1E"/>
          <w:sz w:val="22"/>
          <w:szCs w:val="22"/>
        </w:rPr>
        <w:t>Class A</w:t>
      </w:r>
      <w:r>
        <w:rPr>
          <w:rFonts w:ascii="Calibri" w:hAnsi="Calibri" w:cs="Calibri"/>
          <w:color w:val="201F1E"/>
          <w:sz w:val="22"/>
          <w:szCs w:val="22"/>
        </w:rPr>
        <w:t>,</w:t>
      </w:r>
      <w:r w:rsidRPr="00532D0B">
        <w:rPr>
          <w:rFonts w:ascii="Calibri" w:hAnsi="Calibri" w:cs="Calibri"/>
          <w:color w:val="201F1E"/>
          <w:sz w:val="22"/>
          <w:szCs w:val="22"/>
        </w:rPr>
        <w:t xml:space="preserve"> market, where rent growth and absorption have been relatively strong. Class A office space is in demand because the companies looking to bring workers back to the office post-COVID are looking for buildings with a wide range of amenities and flexible spaces to accommodate enhanced technologies and hybrid work. In addition, the businesses currently shopping for office space </w:t>
      </w:r>
      <w:r>
        <w:rPr>
          <w:rFonts w:ascii="Calibri" w:hAnsi="Calibri" w:cs="Calibri"/>
          <w:color w:val="201F1E"/>
          <w:sz w:val="22"/>
          <w:szCs w:val="22"/>
        </w:rPr>
        <w:t>are likely</w:t>
      </w:r>
      <w:r w:rsidRPr="00532D0B">
        <w:rPr>
          <w:rFonts w:ascii="Calibri" w:hAnsi="Calibri" w:cs="Calibri"/>
          <w:color w:val="201F1E"/>
          <w:sz w:val="22"/>
          <w:szCs w:val="22"/>
        </w:rPr>
        <w:t xml:space="preserve"> the ones with the best balance sheets and the most resources to commit to leased space.</w:t>
      </w:r>
    </w:p>
    <w:p w14:paraId="072C1F96" w14:textId="77777777" w:rsidR="00532D0B" w:rsidRPr="00532D0B" w:rsidRDefault="00532D0B" w:rsidP="00532D0B">
      <w:pPr>
        <w:shd w:val="clear" w:color="auto" w:fill="FFFFFF"/>
        <w:rPr>
          <w:rFonts w:ascii="Calibri" w:hAnsi="Calibri" w:cs="Calibri"/>
          <w:color w:val="201F1E"/>
          <w:sz w:val="22"/>
          <w:szCs w:val="22"/>
        </w:rPr>
      </w:pPr>
      <w:r w:rsidRPr="00532D0B">
        <w:rPr>
          <w:rFonts w:ascii="Calibri" w:hAnsi="Calibri" w:cs="Calibri"/>
          <w:color w:val="201F1E"/>
          <w:sz w:val="22"/>
          <w:szCs w:val="22"/>
        </w:rPr>
        <w:t> </w:t>
      </w:r>
    </w:p>
    <w:p w14:paraId="42C47131" w14:textId="42A37461" w:rsidR="00532D0B" w:rsidRDefault="00532D0B" w:rsidP="00532D0B">
      <w:pPr>
        <w:shd w:val="clear" w:color="auto" w:fill="FFFFFF"/>
        <w:rPr>
          <w:rFonts w:ascii="Calibri" w:hAnsi="Calibri" w:cs="Calibri"/>
          <w:color w:val="201F1E"/>
          <w:sz w:val="22"/>
          <w:szCs w:val="22"/>
        </w:rPr>
      </w:pPr>
      <w:r w:rsidRPr="00532D0B">
        <w:rPr>
          <w:rFonts w:ascii="Calibri" w:hAnsi="Calibri" w:cs="Calibri"/>
          <w:color w:val="201F1E"/>
          <w:sz w:val="22"/>
          <w:szCs w:val="22"/>
        </w:rPr>
        <w:t>Neighborhood retail has also performed surprisingly well across most markets in Virginia, while “big box” stores continue to struggle, largely due to pre-COVID trends.</w:t>
      </w:r>
      <w:r>
        <w:rPr>
          <w:rFonts w:ascii="Calibri" w:hAnsi="Calibri" w:cs="Calibri"/>
          <w:color w:val="201F1E"/>
          <w:sz w:val="22"/>
          <w:szCs w:val="22"/>
        </w:rPr>
        <w:t xml:space="preserve"> “</w:t>
      </w:r>
      <w:r w:rsidR="006C4151">
        <w:rPr>
          <w:rFonts w:ascii="Calibri" w:hAnsi="Calibri" w:cs="Calibri"/>
          <w:color w:val="201F1E"/>
          <w:sz w:val="22"/>
          <w:szCs w:val="22"/>
        </w:rPr>
        <w:t>Improvement in neighborhood retail is a testament to how important that local retail experience is to individuals and families throughout Virginia</w:t>
      </w:r>
      <w:r>
        <w:rPr>
          <w:rFonts w:ascii="Calibri" w:hAnsi="Calibri" w:cs="Calibri"/>
          <w:color w:val="201F1E"/>
          <w:sz w:val="22"/>
          <w:szCs w:val="22"/>
        </w:rPr>
        <w:t>,” says Virginia REALTORS® </w:t>
      </w:r>
      <w:r w:rsidR="001F73F5">
        <w:rPr>
          <w:rFonts w:ascii="Calibri" w:hAnsi="Calibri" w:cs="Calibri"/>
          <w:color w:val="201F1E"/>
          <w:sz w:val="22"/>
          <w:szCs w:val="22"/>
        </w:rPr>
        <w:t>2021 President Beth Dalton</w:t>
      </w:r>
      <w:r>
        <w:rPr>
          <w:rFonts w:ascii="Calibri" w:hAnsi="Calibri" w:cs="Calibri"/>
          <w:color w:val="201F1E"/>
          <w:sz w:val="22"/>
          <w:szCs w:val="22"/>
        </w:rPr>
        <w:t>.</w:t>
      </w:r>
    </w:p>
    <w:p w14:paraId="31EB0F8F" w14:textId="77777777" w:rsidR="006C4151" w:rsidRDefault="006C4151" w:rsidP="00532D0B">
      <w:pPr>
        <w:shd w:val="clear" w:color="auto" w:fill="FFFFFF"/>
        <w:rPr>
          <w:rFonts w:ascii="Calibri" w:hAnsi="Calibri" w:cs="Calibri"/>
          <w:color w:val="201F1E"/>
          <w:sz w:val="22"/>
          <w:szCs w:val="22"/>
          <w:bdr w:val="none" w:sz="0" w:space="0" w:color="auto" w:frame="1"/>
        </w:rPr>
      </w:pPr>
    </w:p>
    <w:p w14:paraId="363975A4" w14:textId="5E628B80" w:rsidR="006C4151" w:rsidRDefault="00532D0B" w:rsidP="00532D0B">
      <w:pPr>
        <w:shd w:val="clear" w:color="auto" w:fill="FFFFFF"/>
        <w:rPr>
          <w:rFonts w:ascii="Calibri" w:hAnsi="Calibri" w:cs="Calibri"/>
          <w:color w:val="201F1E"/>
          <w:sz w:val="22"/>
          <w:szCs w:val="22"/>
        </w:rPr>
      </w:pPr>
      <w:r w:rsidRPr="00532D0B">
        <w:rPr>
          <w:rFonts w:ascii="Calibri" w:hAnsi="Calibri" w:cs="Calibri"/>
          <w:color w:val="201F1E"/>
          <w:sz w:val="22"/>
          <w:szCs w:val="22"/>
        </w:rPr>
        <w:t xml:space="preserve">The industrial market remains the hottest segment of </w:t>
      </w:r>
      <w:r w:rsidR="001F73F5">
        <w:rPr>
          <w:rFonts w:ascii="Calibri" w:hAnsi="Calibri" w:cs="Calibri"/>
          <w:color w:val="201F1E"/>
          <w:sz w:val="22"/>
          <w:szCs w:val="22"/>
        </w:rPr>
        <w:t>Virginia’s</w:t>
      </w:r>
      <w:r w:rsidRPr="00532D0B">
        <w:rPr>
          <w:rFonts w:ascii="Calibri" w:hAnsi="Calibri" w:cs="Calibri"/>
          <w:color w:val="201F1E"/>
          <w:sz w:val="22"/>
          <w:szCs w:val="22"/>
        </w:rPr>
        <w:t xml:space="preserve"> commercial real estate market</w:t>
      </w:r>
      <w:r w:rsidR="001F73F5">
        <w:rPr>
          <w:rFonts w:ascii="Calibri" w:hAnsi="Calibri" w:cs="Calibri"/>
          <w:color w:val="201F1E"/>
          <w:sz w:val="22"/>
          <w:szCs w:val="22"/>
        </w:rPr>
        <w:t xml:space="preserve">. </w:t>
      </w:r>
      <w:r w:rsidRPr="00532D0B">
        <w:rPr>
          <w:rFonts w:ascii="Calibri" w:hAnsi="Calibri" w:cs="Calibri"/>
          <w:color w:val="201F1E"/>
          <w:sz w:val="22"/>
          <w:szCs w:val="22"/>
        </w:rPr>
        <w:t>While large warehouse space</w:t>
      </w:r>
      <w:r>
        <w:rPr>
          <w:rFonts w:ascii="Calibri" w:hAnsi="Calibri" w:cs="Calibri"/>
          <w:color w:val="201F1E"/>
          <w:sz w:val="22"/>
          <w:szCs w:val="22"/>
        </w:rPr>
        <w:t>s</w:t>
      </w:r>
      <w:r w:rsidRPr="00532D0B">
        <w:rPr>
          <w:rFonts w:ascii="Calibri" w:hAnsi="Calibri" w:cs="Calibri"/>
          <w:color w:val="201F1E"/>
          <w:sz w:val="22"/>
          <w:szCs w:val="22"/>
        </w:rPr>
        <w:t xml:space="preserve"> (e.g., fulfillment centers) continue to be in demand, there are growing challenges for businesses looking for niche small warehouse and flex space.</w:t>
      </w:r>
      <w:r w:rsidR="001F73F5">
        <w:rPr>
          <w:rFonts w:ascii="Calibri" w:hAnsi="Calibri" w:cs="Calibri"/>
          <w:color w:val="201F1E"/>
          <w:sz w:val="22"/>
          <w:szCs w:val="22"/>
        </w:rPr>
        <w:t xml:space="preserve"> “Construction of new industrial and warehouse space has not kept with the growing demand,” says Virginia REALTORS® Chief Economist Lisa Sturtevant, PhD. “In addition to rising material costs and labor shortages, there is an added challenge </w:t>
      </w:r>
      <w:r w:rsidR="006C4151">
        <w:rPr>
          <w:rFonts w:ascii="Calibri" w:hAnsi="Calibri" w:cs="Calibri"/>
          <w:color w:val="201F1E"/>
          <w:sz w:val="22"/>
          <w:szCs w:val="22"/>
        </w:rPr>
        <w:t>at the local level, where zoning codes and use categories don’t always accommodate in-demand space, such as flex space.”</w:t>
      </w:r>
    </w:p>
    <w:p w14:paraId="628900F5" w14:textId="2A9A0A16" w:rsidR="00532D0B" w:rsidRPr="00EF2B35" w:rsidRDefault="00532D0B" w:rsidP="00197B9C">
      <w:pPr>
        <w:pStyle w:val="NormalWeb"/>
        <w:rPr>
          <w:rFonts w:asciiTheme="minorHAnsi" w:hAnsiTheme="minorHAnsi" w:cstheme="minorHAnsi"/>
          <w:color w:val="000000" w:themeColor="text1"/>
          <w:sz w:val="22"/>
          <w:szCs w:val="22"/>
        </w:rPr>
      </w:pPr>
      <w:r w:rsidRPr="00EF2B35">
        <w:rPr>
          <w:rFonts w:asciiTheme="minorHAnsi" w:hAnsiTheme="minorHAnsi" w:cstheme="minorHAnsi"/>
          <w:color w:val="000000" w:themeColor="text1"/>
          <w:sz w:val="22"/>
          <w:szCs w:val="22"/>
        </w:rPr>
        <w:t xml:space="preserve">Virginia REALTORS® publishes quarterly reports on the commercial real estate market. These reports summarize trends in the office, retail, and industrial markets in nine regions across the state, and provide an outlook for future commercial market conditions. </w:t>
      </w:r>
      <w:hyperlink r:id="rId9" w:history="1">
        <w:r w:rsidRPr="00496C0F">
          <w:rPr>
            <w:rStyle w:val="Hyperlink"/>
            <w:rFonts w:asciiTheme="minorHAnsi" w:hAnsiTheme="minorHAnsi" w:cstheme="minorHAnsi"/>
            <w:sz w:val="22"/>
            <w:szCs w:val="22"/>
          </w:rPr>
          <w:t>Click here</w:t>
        </w:r>
      </w:hyperlink>
      <w:r w:rsidRPr="00EF2B35">
        <w:rPr>
          <w:rFonts w:asciiTheme="minorHAnsi" w:hAnsiTheme="minorHAnsi" w:cstheme="minorHAnsi"/>
          <w:color w:val="000000" w:themeColor="text1"/>
          <w:sz w:val="22"/>
          <w:szCs w:val="22"/>
        </w:rPr>
        <w:t xml:space="preserve"> to view the full Q</w:t>
      </w:r>
      <w:r>
        <w:rPr>
          <w:rFonts w:asciiTheme="minorHAnsi" w:hAnsiTheme="minorHAnsi" w:cstheme="minorHAnsi"/>
          <w:color w:val="000000" w:themeColor="text1"/>
          <w:sz w:val="22"/>
          <w:szCs w:val="22"/>
        </w:rPr>
        <w:t>3</w:t>
      </w:r>
      <w:r w:rsidRPr="00EF2B35">
        <w:rPr>
          <w:rFonts w:asciiTheme="minorHAnsi" w:hAnsiTheme="minorHAnsi" w:cstheme="minorHAnsi"/>
          <w:color w:val="000000" w:themeColor="text1"/>
          <w:sz w:val="22"/>
          <w:szCs w:val="22"/>
        </w:rPr>
        <w:t xml:space="preserve"> 2021 Commercial Market Report.</w:t>
      </w:r>
      <w:r w:rsidRPr="00532D0B">
        <w:rPr>
          <w:rFonts w:ascii="Calibri" w:hAnsi="Calibri" w:cs="Calibri"/>
          <w:color w:val="201F1E"/>
          <w:sz w:val="22"/>
          <w:szCs w:val="22"/>
        </w:rPr>
        <w:t> </w:t>
      </w:r>
    </w:p>
    <w:p w14:paraId="1729F7E4" w14:textId="5F8EFC49" w:rsidR="0064247D" w:rsidRDefault="00292200" w:rsidP="00EF2B35">
      <w:pPr>
        <w:shd w:val="clear" w:color="auto" w:fill="FFFFFF"/>
        <w:spacing w:line="270" w:lineRule="atLeast"/>
        <w:jc w:val="center"/>
        <w:textAlignment w:val="baseline"/>
        <w:rPr>
          <w:rFonts w:asciiTheme="minorHAnsi" w:hAnsiTheme="minorHAnsi" w:cstheme="minorHAnsi"/>
          <w:sz w:val="22"/>
          <w:szCs w:val="22"/>
        </w:rPr>
      </w:pPr>
      <w:r w:rsidRPr="00CB4814">
        <w:rPr>
          <w:rFonts w:asciiTheme="minorHAnsi" w:hAnsiTheme="minorHAnsi" w:cstheme="minorHAnsi"/>
          <w:sz w:val="22"/>
          <w:szCs w:val="22"/>
        </w:rPr>
        <w:t>#   #   #</w:t>
      </w:r>
    </w:p>
    <w:p w14:paraId="7AAD1DDA" w14:textId="04A3B380" w:rsidR="00764653" w:rsidRDefault="00292200" w:rsidP="00292200">
      <w:pPr>
        <w:rPr>
          <w:rFonts w:asciiTheme="minorHAnsi" w:hAnsiTheme="minorHAnsi" w:cstheme="minorHAnsi"/>
          <w:b/>
          <w:sz w:val="22"/>
          <w:szCs w:val="22"/>
        </w:rPr>
      </w:pPr>
      <w:r w:rsidRPr="00CB4814">
        <w:rPr>
          <w:rFonts w:asciiTheme="minorHAnsi" w:hAnsiTheme="minorHAnsi" w:cstheme="minorHAnsi"/>
          <w:b/>
          <w:sz w:val="22"/>
          <w:szCs w:val="22"/>
        </w:rPr>
        <w:lastRenderedPageBreak/>
        <w:t>About Virginia REALTORS®</w:t>
      </w:r>
    </w:p>
    <w:p w14:paraId="27B0F457" w14:textId="4DD5B1BB" w:rsidR="00292200" w:rsidRPr="00764653" w:rsidRDefault="00292200" w:rsidP="00292200">
      <w:pPr>
        <w:rPr>
          <w:rFonts w:asciiTheme="minorHAnsi" w:hAnsiTheme="minorHAnsi" w:cstheme="minorHAnsi"/>
          <w:b/>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807620" w:rsidRPr="00CB4814">
        <w:rPr>
          <w:rFonts w:asciiTheme="minorHAnsi" w:hAnsiTheme="minorHAnsi" w:cstheme="minorHAnsi"/>
          <w:sz w:val="22"/>
          <w:szCs w:val="22"/>
        </w:rPr>
        <w:t>3</w:t>
      </w:r>
      <w:r w:rsidR="00A97708">
        <w:rPr>
          <w:rFonts w:asciiTheme="minorHAnsi" w:hAnsiTheme="minorHAnsi" w:cstheme="minorHAnsi"/>
          <w:sz w:val="22"/>
          <w:szCs w:val="22"/>
        </w:rPr>
        <w:t>6</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homeowners and represents the interests of property owners in the Commonwealth of Virginia. For more information, visit </w:t>
      </w:r>
      <w:hyperlink r:id="rId10"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1" w:history="1">
        <w:r w:rsidRPr="00CB4814">
          <w:rPr>
            <w:rStyle w:val="Hyperlink"/>
            <w:rFonts w:asciiTheme="minorHAnsi" w:hAnsiTheme="minorHAnsi" w:cstheme="minorHAnsi"/>
            <w:sz w:val="22"/>
            <w:szCs w:val="22"/>
          </w:rPr>
          <w:t>Facebook</w:t>
        </w:r>
      </w:hyperlink>
      <w:r w:rsidRPr="00CB4814">
        <w:rPr>
          <w:rFonts w:asciiTheme="minorHAnsi" w:hAnsiTheme="minorHAnsi" w:cstheme="minorHAnsi"/>
          <w:sz w:val="22"/>
          <w:szCs w:val="22"/>
        </w:rPr>
        <w:t xml:space="preserve">, </w:t>
      </w:r>
      <w:hyperlink r:id="rId12" w:history="1">
        <w:r w:rsidRPr="00CB4814">
          <w:rPr>
            <w:rStyle w:val="Hyperlink"/>
            <w:rFonts w:asciiTheme="minorHAnsi" w:hAnsiTheme="minorHAnsi" w:cstheme="minorHAnsi"/>
            <w:sz w:val="22"/>
            <w:szCs w:val="22"/>
          </w:rPr>
          <w:t>Twitter</w:t>
        </w:r>
      </w:hyperlink>
      <w:r w:rsidRPr="00CB4814">
        <w:rPr>
          <w:rFonts w:asciiTheme="minorHAnsi" w:hAnsiTheme="minorHAnsi" w:cstheme="minorHAnsi"/>
          <w:sz w:val="22"/>
          <w:szCs w:val="22"/>
        </w:rPr>
        <w:t xml:space="preserve">, and </w:t>
      </w:r>
      <w:hyperlink r:id="rId13"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1252C3"/>
    <w:multiLevelType w:val="multilevel"/>
    <w:tmpl w:val="B2B6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A032D0"/>
    <w:multiLevelType w:val="multilevel"/>
    <w:tmpl w:val="1920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5F757D"/>
    <w:multiLevelType w:val="multilevel"/>
    <w:tmpl w:val="21C0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484B96"/>
    <w:multiLevelType w:val="hybridMultilevel"/>
    <w:tmpl w:val="21FC0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79C848E1"/>
    <w:multiLevelType w:val="multilevel"/>
    <w:tmpl w:val="22B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4"/>
  </w:num>
  <w:num w:numId="3">
    <w:abstractNumId w:val="19"/>
  </w:num>
  <w:num w:numId="4">
    <w:abstractNumId w:val="15"/>
  </w:num>
  <w:num w:numId="5">
    <w:abstractNumId w:val="10"/>
  </w:num>
  <w:num w:numId="6">
    <w:abstractNumId w:val="0"/>
  </w:num>
  <w:num w:numId="7">
    <w:abstractNumId w:val="6"/>
  </w:num>
  <w:num w:numId="8">
    <w:abstractNumId w:val="12"/>
  </w:num>
  <w:num w:numId="9">
    <w:abstractNumId w:val="9"/>
  </w:num>
  <w:num w:numId="10">
    <w:abstractNumId w:val="4"/>
  </w:num>
  <w:num w:numId="11">
    <w:abstractNumId w:val="2"/>
  </w:num>
  <w:num w:numId="12">
    <w:abstractNumId w:val="17"/>
  </w:num>
  <w:num w:numId="13">
    <w:abstractNumId w:val="13"/>
  </w:num>
  <w:num w:numId="14">
    <w:abstractNumId w:val="18"/>
  </w:num>
  <w:num w:numId="15">
    <w:abstractNumId w:val="11"/>
  </w:num>
  <w:num w:numId="16">
    <w:abstractNumId w:val="8"/>
  </w:num>
  <w:num w:numId="17">
    <w:abstractNumId w:val="5"/>
  </w:num>
  <w:num w:numId="18">
    <w:abstractNumId w:val="1"/>
  </w:num>
  <w:num w:numId="19">
    <w:abstractNumId w:val="20"/>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39A5"/>
    <w:rsid w:val="00012F8E"/>
    <w:rsid w:val="00013805"/>
    <w:rsid w:val="00017D50"/>
    <w:rsid w:val="00023321"/>
    <w:rsid w:val="000332A8"/>
    <w:rsid w:val="000360A6"/>
    <w:rsid w:val="00042180"/>
    <w:rsid w:val="00042481"/>
    <w:rsid w:val="00043541"/>
    <w:rsid w:val="00046204"/>
    <w:rsid w:val="000531E8"/>
    <w:rsid w:val="000547DE"/>
    <w:rsid w:val="00057324"/>
    <w:rsid w:val="00066113"/>
    <w:rsid w:val="00072AEF"/>
    <w:rsid w:val="00072AF0"/>
    <w:rsid w:val="000758AC"/>
    <w:rsid w:val="0008313F"/>
    <w:rsid w:val="00083EC7"/>
    <w:rsid w:val="00085622"/>
    <w:rsid w:val="00095A4A"/>
    <w:rsid w:val="000969FC"/>
    <w:rsid w:val="000A1D7B"/>
    <w:rsid w:val="000A566B"/>
    <w:rsid w:val="000B1FF9"/>
    <w:rsid w:val="000B25F0"/>
    <w:rsid w:val="000B3617"/>
    <w:rsid w:val="000C2435"/>
    <w:rsid w:val="000C5EC2"/>
    <w:rsid w:val="000D3684"/>
    <w:rsid w:val="000D4475"/>
    <w:rsid w:val="000D476D"/>
    <w:rsid w:val="000D5F96"/>
    <w:rsid w:val="000E0E37"/>
    <w:rsid w:val="000E1A10"/>
    <w:rsid w:val="000E1C1C"/>
    <w:rsid w:val="000E2E2C"/>
    <w:rsid w:val="000E4914"/>
    <w:rsid w:val="000E6E54"/>
    <w:rsid w:val="000F549A"/>
    <w:rsid w:val="00130492"/>
    <w:rsid w:val="00133844"/>
    <w:rsid w:val="0013699F"/>
    <w:rsid w:val="00140B04"/>
    <w:rsid w:val="00141F25"/>
    <w:rsid w:val="00163FB5"/>
    <w:rsid w:val="001730C9"/>
    <w:rsid w:val="001745CF"/>
    <w:rsid w:val="0017571F"/>
    <w:rsid w:val="00180BB7"/>
    <w:rsid w:val="00181354"/>
    <w:rsid w:val="00183144"/>
    <w:rsid w:val="00183994"/>
    <w:rsid w:val="001910E4"/>
    <w:rsid w:val="00194E7B"/>
    <w:rsid w:val="001972A9"/>
    <w:rsid w:val="00197B9C"/>
    <w:rsid w:val="001A2018"/>
    <w:rsid w:val="001A69EE"/>
    <w:rsid w:val="001A7F14"/>
    <w:rsid w:val="001C53C1"/>
    <w:rsid w:val="001D222E"/>
    <w:rsid w:val="001D720B"/>
    <w:rsid w:val="001D7752"/>
    <w:rsid w:val="001E6566"/>
    <w:rsid w:val="001F0116"/>
    <w:rsid w:val="001F36C2"/>
    <w:rsid w:val="001F433B"/>
    <w:rsid w:val="001F4F1B"/>
    <w:rsid w:val="001F73F5"/>
    <w:rsid w:val="00210FB6"/>
    <w:rsid w:val="0021428E"/>
    <w:rsid w:val="002153B8"/>
    <w:rsid w:val="00220C18"/>
    <w:rsid w:val="002263E7"/>
    <w:rsid w:val="002302F2"/>
    <w:rsid w:val="00253BA8"/>
    <w:rsid w:val="002566D9"/>
    <w:rsid w:val="00264E97"/>
    <w:rsid w:val="0026612F"/>
    <w:rsid w:val="002668FB"/>
    <w:rsid w:val="00276D5E"/>
    <w:rsid w:val="00280237"/>
    <w:rsid w:val="002879B1"/>
    <w:rsid w:val="00292200"/>
    <w:rsid w:val="00293C49"/>
    <w:rsid w:val="0029765B"/>
    <w:rsid w:val="002B1AA8"/>
    <w:rsid w:val="002B3997"/>
    <w:rsid w:val="002B4C81"/>
    <w:rsid w:val="002C08C9"/>
    <w:rsid w:val="002D022D"/>
    <w:rsid w:val="002D503A"/>
    <w:rsid w:val="002D703D"/>
    <w:rsid w:val="002F7C55"/>
    <w:rsid w:val="003011FB"/>
    <w:rsid w:val="00307774"/>
    <w:rsid w:val="0031205D"/>
    <w:rsid w:val="00325152"/>
    <w:rsid w:val="00326497"/>
    <w:rsid w:val="00332477"/>
    <w:rsid w:val="00332534"/>
    <w:rsid w:val="00334C99"/>
    <w:rsid w:val="003370D2"/>
    <w:rsid w:val="003447E0"/>
    <w:rsid w:val="003530A6"/>
    <w:rsid w:val="00355186"/>
    <w:rsid w:val="00357EBA"/>
    <w:rsid w:val="0036156C"/>
    <w:rsid w:val="0036198D"/>
    <w:rsid w:val="00363D35"/>
    <w:rsid w:val="00370150"/>
    <w:rsid w:val="00377F4B"/>
    <w:rsid w:val="0038216D"/>
    <w:rsid w:val="003852D3"/>
    <w:rsid w:val="00385D92"/>
    <w:rsid w:val="003906C0"/>
    <w:rsid w:val="00392268"/>
    <w:rsid w:val="003966A9"/>
    <w:rsid w:val="00397702"/>
    <w:rsid w:val="003A02C2"/>
    <w:rsid w:val="003B4111"/>
    <w:rsid w:val="003B45C9"/>
    <w:rsid w:val="003B550C"/>
    <w:rsid w:val="003C0C4B"/>
    <w:rsid w:val="003D7C8F"/>
    <w:rsid w:val="003E0A51"/>
    <w:rsid w:val="003F38CE"/>
    <w:rsid w:val="003F6FD6"/>
    <w:rsid w:val="00405A60"/>
    <w:rsid w:val="00416EBD"/>
    <w:rsid w:val="00420441"/>
    <w:rsid w:val="00426A1A"/>
    <w:rsid w:val="00434F2B"/>
    <w:rsid w:val="00452518"/>
    <w:rsid w:val="00455405"/>
    <w:rsid w:val="004632CA"/>
    <w:rsid w:val="004642E1"/>
    <w:rsid w:val="004653AE"/>
    <w:rsid w:val="0047054C"/>
    <w:rsid w:val="0048115C"/>
    <w:rsid w:val="00484837"/>
    <w:rsid w:val="00484F4E"/>
    <w:rsid w:val="00485F90"/>
    <w:rsid w:val="00486146"/>
    <w:rsid w:val="00487983"/>
    <w:rsid w:val="00496C0F"/>
    <w:rsid w:val="004A22BD"/>
    <w:rsid w:val="004A24FF"/>
    <w:rsid w:val="004A40D1"/>
    <w:rsid w:val="004A47FF"/>
    <w:rsid w:val="004B3C57"/>
    <w:rsid w:val="004B4292"/>
    <w:rsid w:val="004D0635"/>
    <w:rsid w:val="004E2263"/>
    <w:rsid w:val="004F3B67"/>
    <w:rsid w:val="0050211F"/>
    <w:rsid w:val="00512CEF"/>
    <w:rsid w:val="00516D56"/>
    <w:rsid w:val="00526033"/>
    <w:rsid w:val="00527B52"/>
    <w:rsid w:val="00532D0B"/>
    <w:rsid w:val="005350D6"/>
    <w:rsid w:val="00540FCA"/>
    <w:rsid w:val="00550E3D"/>
    <w:rsid w:val="00553456"/>
    <w:rsid w:val="00554FA0"/>
    <w:rsid w:val="00560678"/>
    <w:rsid w:val="0058368B"/>
    <w:rsid w:val="00583BCB"/>
    <w:rsid w:val="0059174A"/>
    <w:rsid w:val="00593646"/>
    <w:rsid w:val="00597A47"/>
    <w:rsid w:val="00597BF4"/>
    <w:rsid w:val="005A226D"/>
    <w:rsid w:val="005B0CAC"/>
    <w:rsid w:val="005B0D54"/>
    <w:rsid w:val="005B51FB"/>
    <w:rsid w:val="005B6B23"/>
    <w:rsid w:val="005C12CF"/>
    <w:rsid w:val="005C2D2A"/>
    <w:rsid w:val="005C4236"/>
    <w:rsid w:val="005D3E78"/>
    <w:rsid w:val="005D65DE"/>
    <w:rsid w:val="005E4FB9"/>
    <w:rsid w:val="005E501C"/>
    <w:rsid w:val="005E5A5A"/>
    <w:rsid w:val="00601DC3"/>
    <w:rsid w:val="006116C3"/>
    <w:rsid w:val="0061198F"/>
    <w:rsid w:val="006168E6"/>
    <w:rsid w:val="0062261A"/>
    <w:rsid w:val="00625496"/>
    <w:rsid w:val="0062691E"/>
    <w:rsid w:val="00627745"/>
    <w:rsid w:val="00640355"/>
    <w:rsid w:val="00641BEF"/>
    <w:rsid w:val="0064247D"/>
    <w:rsid w:val="006469D9"/>
    <w:rsid w:val="00654AC7"/>
    <w:rsid w:val="00655534"/>
    <w:rsid w:val="00660A78"/>
    <w:rsid w:val="0066108D"/>
    <w:rsid w:val="00671F27"/>
    <w:rsid w:val="00681AA4"/>
    <w:rsid w:val="00681DC6"/>
    <w:rsid w:val="00682C7E"/>
    <w:rsid w:val="00687A13"/>
    <w:rsid w:val="006901BE"/>
    <w:rsid w:val="00694117"/>
    <w:rsid w:val="006A0815"/>
    <w:rsid w:val="006A6148"/>
    <w:rsid w:val="006B307C"/>
    <w:rsid w:val="006C11F2"/>
    <w:rsid w:val="006C1A85"/>
    <w:rsid w:val="006C4151"/>
    <w:rsid w:val="006D05F6"/>
    <w:rsid w:val="006D7187"/>
    <w:rsid w:val="006F532F"/>
    <w:rsid w:val="0070013D"/>
    <w:rsid w:val="00701518"/>
    <w:rsid w:val="007031C6"/>
    <w:rsid w:val="007039DC"/>
    <w:rsid w:val="00706734"/>
    <w:rsid w:val="00710B4B"/>
    <w:rsid w:val="0072128D"/>
    <w:rsid w:val="00731BDE"/>
    <w:rsid w:val="007341ED"/>
    <w:rsid w:val="00735D9D"/>
    <w:rsid w:val="00736A3E"/>
    <w:rsid w:val="007404A6"/>
    <w:rsid w:val="00751C4D"/>
    <w:rsid w:val="007522F7"/>
    <w:rsid w:val="007546AA"/>
    <w:rsid w:val="00757F84"/>
    <w:rsid w:val="00763EBE"/>
    <w:rsid w:val="00764653"/>
    <w:rsid w:val="00770E65"/>
    <w:rsid w:val="007740FA"/>
    <w:rsid w:val="00774539"/>
    <w:rsid w:val="007825B4"/>
    <w:rsid w:val="00783D31"/>
    <w:rsid w:val="007A5245"/>
    <w:rsid w:val="007A7368"/>
    <w:rsid w:val="007C11FD"/>
    <w:rsid w:val="007C497F"/>
    <w:rsid w:val="007D41B7"/>
    <w:rsid w:val="007D4DE7"/>
    <w:rsid w:val="007D51B4"/>
    <w:rsid w:val="007E38C7"/>
    <w:rsid w:val="007E4B72"/>
    <w:rsid w:val="007F3850"/>
    <w:rsid w:val="007F45D0"/>
    <w:rsid w:val="007F56CA"/>
    <w:rsid w:val="0080460D"/>
    <w:rsid w:val="00804982"/>
    <w:rsid w:val="00807482"/>
    <w:rsid w:val="00807620"/>
    <w:rsid w:val="00811A23"/>
    <w:rsid w:val="00822CA6"/>
    <w:rsid w:val="008346D2"/>
    <w:rsid w:val="008437D5"/>
    <w:rsid w:val="0085114B"/>
    <w:rsid w:val="00852B29"/>
    <w:rsid w:val="0085375B"/>
    <w:rsid w:val="00856C99"/>
    <w:rsid w:val="0086314E"/>
    <w:rsid w:val="00864063"/>
    <w:rsid w:val="0086482C"/>
    <w:rsid w:val="008720F9"/>
    <w:rsid w:val="00874BDC"/>
    <w:rsid w:val="00887C64"/>
    <w:rsid w:val="0089190F"/>
    <w:rsid w:val="00892505"/>
    <w:rsid w:val="0089267D"/>
    <w:rsid w:val="008A603A"/>
    <w:rsid w:val="008A738A"/>
    <w:rsid w:val="008B3544"/>
    <w:rsid w:val="008B490D"/>
    <w:rsid w:val="008B4E25"/>
    <w:rsid w:val="008B5C63"/>
    <w:rsid w:val="008C2189"/>
    <w:rsid w:val="008C3392"/>
    <w:rsid w:val="008C532F"/>
    <w:rsid w:val="008C5B5D"/>
    <w:rsid w:val="008D0DEB"/>
    <w:rsid w:val="008D3BD9"/>
    <w:rsid w:val="008E0006"/>
    <w:rsid w:val="008E650E"/>
    <w:rsid w:val="00913FF1"/>
    <w:rsid w:val="00923B2F"/>
    <w:rsid w:val="00924991"/>
    <w:rsid w:val="0093038E"/>
    <w:rsid w:val="00930B79"/>
    <w:rsid w:val="0093432E"/>
    <w:rsid w:val="00942AF7"/>
    <w:rsid w:val="009451D7"/>
    <w:rsid w:val="00953113"/>
    <w:rsid w:val="00954F1D"/>
    <w:rsid w:val="00955BBF"/>
    <w:rsid w:val="00960561"/>
    <w:rsid w:val="009622E7"/>
    <w:rsid w:val="0097042E"/>
    <w:rsid w:val="00971479"/>
    <w:rsid w:val="0099051D"/>
    <w:rsid w:val="0099159E"/>
    <w:rsid w:val="009979D1"/>
    <w:rsid w:val="009A2944"/>
    <w:rsid w:val="009A2A50"/>
    <w:rsid w:val="009A70B1"/>
    <w:rsid w:val="009B30D8"/>
    <w:rsid w:val="009B7248"/>
    <w:rsid w:val="009C0519"/>
    <w:rsid w:val="009D3630"/>
    <w:rsid w:val="009E1E01"/>
    <w:rsid w:val="009F01AB"/>
    <w:rsid w:val="00A15A57"/>
    <w:rsid w:val="00A179D7"/>
    <w:rsid w:val="00A17F94"/>
    <w:rsid w:val="00A26DFB"/>
    <w:rsid w:val="00A40726"/>
    <w:rsid w:val="00A443AA"/>
    <w:rsid w:val="00A444C1"/>
    <w:rsid w:val="00A47017"/>
    <w:rsid w:val="00A5713C"/>
    <w:rsid w:val="00A653DD"/>
    <w:rsid w:val="00A662A9"/>
    <w:rsid w:val="00A71BA5"/>
    <w:rsid w:val="00A74934"/>
    <w:rsid w:val="00A75E7E"/>
    <w:rsid w:val="00A8190C"/>
    <w:rsid w:val="00A820CB"/>
    <w:rsid w:val="00A86B95"/>
    <w:rsid w:val="00A87854"/>
    <w:rsid w:val="00A96D17"/>
    <w:rsid w:val="00A97708"/>
    <w:rsid w:val="00AA3BBC"/>
    <w:rsid w:val="00AB2434"/>
    <w:rsid w:val="00AB2DC4"/>
    <w:rsid w:val="00AB74FB"/>
    <w:rsid w:val="00AB7BC7"/>
    <w:rsid w:val="00AC4550"/>
    <w:rsid w:val="00AC552F"/>
    <w:rsid w:val="00AD17DF"/>
    <w:rsid w:val="00AD34AC"/>
    <w:rsid w:val="00AD3B0D"/>
    <w:rsid w:val="00AD623D"/>
    <w:rsid w:val="00AE0273"/>
    <w:rsid w:val="00AE40A9"/>
    <w:rsid w:val="00AE6880"/>
    <w:rsid w:val="00B00169"/>
    <w:rsid w:val="00B025D5"/>
    <w:rsid w:val="00B04C8D"/>
    <w:rsid w:val="00B1375F"/>
    <w:rsid w:val="00B20B07"/>
    <w:rsid w:val="00B22C28"/>
    <w:rsid w:val="00B2784B"/>
    <w:rsid w:val="00B30E4C"/>
    <w:rsid w:val="00B3259E"/>
    <w:rsid w:val="00B436D3"/>
    <w:rsid w:val="00B4466F"/>
    <w:rsid w:val="00B45046"/>
    <w:rsid w:val="00B641D7"/>
    <w:rsid w:val="00B656E8"/>
    <w:rsid w:val="00B676ED"/>
    <w:rsid w:val="00B84992"/>
    <w:rsid w:val="00B866E4"/>
    <w:rsid w:val="00B90AE0"/>
    <w:rsid w:val="00B91D0C"/>
    <w:rsid w:val="00B93B21"/>
    <w:rsid w:val="00B95EA4"/>
    <w:rsid w:val="00BA0B02"/>
    <w:rsid w:val="00BA4168"/>
    <w:rsid w:val="00BA4F47"/>
    <w:rsid w:val="00BA53BB"/>
    <w:rsid w:val="00BB1F02"/>
    <w:rsid w:val="00BB284F"/>
    <w:rsid w:val="00BB743A"/>
    <w:rsid w:val="00BC0EBB"/>
    <w:rsid w:val="00BC1BAE"/>
    <w:rsid w:val="00BC200A"/>
    <w:rsid w:val="00BC3830"/>
    <w:rsid w:val="00BC3EAF"/>
    <w:rsid w:val="00BD35EA"/>
    <w:rsid w:val="00BD6D7E"/>
    <w:rsid w:val="00BE42F8"/>
    <w:rsid w:val="00BF41C7"/>
    <w:rsid w:val="00C108EE"/>
    <w:rsid w:val="00C12988"/>
    <w:rsid w:val="00C155B6"/>
    <w:rsid w:val="00C2589E"/>
    <w:rsid w:val="00C535F4"/>
    <w:rsid w:val="00C53C2E"/>
    <w:rsid w:val="00C60A11"/>
    <w:rsid w:val="00C757B7"/>
    <w:rsid w:val="00C832AD"/>
    <w:rsid w:val="00C90AE2"/>
    <w:rsid w:val="00C976EB"/>
    <w:rsid w:val="00CA74FE"/>
    <w:rsid w:val="00CB4138"/>
    <w:rsid w:val="00CB4814"/>
    <w:rsid w:val="00CB5D42"/>
    <w:rsid w:val="00CC1A00"/>
    <w:rsid w:val="00CC1ABC"/>
    <w:rsid w:val="00CD25D4"/>
    <w:rsid w:val="00CD3CBF"/>
    <w:rsid w:val="00CE577F"/>
    <w:rsid w:val="00CF0FEA"/>
    <w:rsid w:val="00CF1655"/>
    <w:rsid w:val="00CF1CA0"/>
    <w:rsid w:val="00CF55FC"/>
    <w:rsid w:val="00D041FB"/>
    <w:rsid w:val="00D05769"/>
    <w:rsid w:val="00D05F13"/>
    <w:rsid w:val="00D06AD8"/>
    <w:rsid w:val="00D07524"/>
    <w:rsid w:val="00D126D0"/>
    <w:rsid w:val="00D148A7"/>
    <w:rsid w:val="00D2197F"/>
    <w:rsid w:val="00D24269"/>
    <w:rsid w:val="00D328B4"/>
    <w:rsid w:val="00D348B4"/>
    <w:rsid w:val="00D3664D"/>
    <w:rsid w:val="00D402F0"/>
    <w:rsid w:val="00D405C9"/>
    <w:rsid w:val="00D46F80"/>
    <w:rsid w:val="00D50282"/>
    <w:rsid w:val="00D52741"/>
    <w:rsid w:val="00D57254"/>
    <w:rsid w:val="00D57353"/>
    <w:rsid w:val="00D823B3"/>
    <w:rsid w:val="00D82DED"/>
    <w:rsid w:val="00D855EE"/>
    <w:rsid w:val="00D86C48"/>
    <w:rsid w:val="00D873BA"/>
    <w:rsid w:val="00D946AA"/>
    <w:rsid w:val="00D94DBA"/>
    <w:rsid w:val="00DA1A78"/>
    <w:rsid w:val="00DA3078"/>
    <w:rsid w:val="00DA6215"/>
    <w:rsid w:val="00DA6476"/>
    <w:rsid w:val="00DB5621"/>
    <w:rsid w:val="00DB56F5"/>
    <w:rsid w:val="00DB7B1E"/>
    <w:rsid w:val="00DD222C"/>
    <w:rsid w:val="00DE1E6E"/>
    <w:rsid w:val="00DF2E78"/>
    <w:rsid w:val="00E00E0D"/>
    <w:rsid w:val="00E01E6C"/>
    <w:rsid w:val="00E053AD"/>
    <w:rsid w:val="00E1157D"/>
    <w:rsid w:val="00E135FB"/>
    <w:rsid w:val="00E14017"/>
    <w:rsid w:val="00E20592"/>
    <w:rsid w:val="00E25911"/>
    <w:rsid w:val="00E31FAA"/>
    <w:rsid w:val="00E439A0"/>
    <w:rsid w:val="00E45416"/>
    <w:rsid w:val="00E47BB0"/>
    <w:rsid w:val="00E56C77"/>
    <w:rsid w:val="00E62F98"/>
    <w:rsid w:val="00E666A4"/>
    <w:rsid w:val="00E7019D"/>
    <w:rsid w:val="00E7092B"/>
    <w:rsid w:val="00E71ACA"/>
    <w:rsid w:val="00E775A0"/>
    <w:rsid w:val="00E77DB9"/>
    <w:rsid w:val="00E91E08"/>
    <w:rsid w:val="00E91E22"/>
    <w:rsid w:val="00E95F47"/>
    <w:rsid w:val="00E963D2"/>
    <w:rsid w:val="00EA63C0"/>
    <w:rsid w:val="00EA658C"/>
    <w:rsid w:val="00EB1488"/>
    <w:rsid w:val="00EB237C"/>
    <w:rsid w:val="00EB45F7"/>
    <w:rsid w:val="00EB62F6"/>
    <w:rsid w:val="00EC225C"/>
    <w:rsid w:val="00EC760C"/>
    <w:rsid w:val="00ED0FE1"/>
    <w:rsid w:val="00ED34E7"/>
    <w:rsid w:val="00EE49BF"/>
    <w:rsid w:val="00EE6C83"/>
    <w:rsid w:val="00EE7BCF"/>
    <w:rsid w:val="00EF2B35"/>
    <w:rsid w:val="00EF2F38"/>
    <w:rsid w:val="00F00DDB"/>
    <w:rsid w:val="00F11987"/>
    <w:rsid w:val="00F11DCA"/>
    <w:rsid w:val="00F129B6"/>
    <w:rsid w:val="00F1464C"/>
    <w:rsid w:val="00F24FAF"/>
    <w:rsid w:val="00F2515B"/>
    <w:rsid w:val="00F3519F"/>
    <w:rsid w:val="00F40715"/>
    <w:rsid w:val="00F45817"/>
    <w:rsid w:val="00F45D5D"/>
    <w:rsid w:val="00F50524"/>
    <w:rsid w:val="00F508EB"/>
    <w:rsid w:val="00F5249E"/>
    <w:rsid w:val="00F601FE"/>
    <w:rsid w:val="00F64949"/>
    <w:rsid w:val="00F666E4"/>
    <w:rsid w:val="00F76B42"/>
    <w:rsid w:val="00F8054F"/>
    <w:rsid w:val="00F84E48"/>
    <w:rsid w:val="00FA75C8"/>
    <w:rsid w:val="00FC0D97"/>
    <w:rsid w:val="00FC197D"/>
    <w:rsid w:val="00FD2B49"/>
    <w:rsid w:val="00FD62BA"/>
    <w:rsid w:val="00FE5889"/>
    <w:rsid w:val="00FF05BC"/>
    <w:rsid w:val="00FF3F0B"/>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0040">
      <w:bodyDiv w:val="1"/>
      <w:marLeft w:val="0"/>
      <w:marRight w:val="0"/>
      <w:marTop w:val="0"/>
      <w:marBottom w:val="0"/>
      <w:divBdr>
        <w:top w:val="none" w:sz="0" w:space="0" w:color="auto"/>
        <w:left w:val="none" w:sz="0" w:space="0" w:color="auto"/>
        <w:bottom w:val="none" w:sz="0" w:space="0" w:color="auto"/>
        <w:right w:val="none" w:sz="0" w:space="0" w:color="auto"/>
      </w:divBdr>
      <w:divsChild>
        <w:div w:id="1703936190">
          <w:marLeft w:val="0"/>
          <w:marRight w:val="0"/>
          <w:marTop w:val="0"/>
          <w:marBottom w:val="0"/>
          <w:divBdr>
            <w:top w:val="none" w:sz="0" w:space="0" w:color="auto"/>
            <w:left w:val="none" w:sz="0" w:space="0" w:color="auto"/>
            <w:bottom w:val="none" w:sz="0" w:space="0" w:color="auto"/>
            <w:right w:val="none" w:sz="0" w:space="0" w:color="auto"/>
          </w:divBdr>
          <w:divsChild>
            <w:div w:id="1726566485">
              <w:marLeft w:val="0"/>
              <w:marRight w:val="0"/>
              <w:marTop w:val="0"/>
              <w:marBottom w:val="0"/>
              <w:divBdr>
                <w:top w:val="none" w:sz="0" w:space="0" w:color="auto"/>
                <w:left w:val="none" w:sz="0" w:space="0" w:color="auto"/>
                <w:bottom w:val="none" w:sz="0" w:space="0" w:color="auto"/>
                <w:right w:val="none" w:sz="0" w:space="0" w:color="auto"/>
              </w:divBdr>
              <w:divsChild>
                <w:div w:id="13764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715">
      <w:bodyDiv w:val="1"/>
      <w:marLeft w:val="0"/>
      <w:marRight w:val="0"/>
      <w:marTop w:val="0"/>
      <w:marBottom w:val="0"/>
      <w:divBdr>
        <w:top w:val="none" w:sz="0" w:space="0" w:color="auto"/>
        <w:left w:val="none" w:sz="0" w:space="0" w:color="auto"/>
        <w:bottom w:val="none" w:sz="0" w:space="0" w:color="auto"/>
        <w:right w:val="none" w:sz="0" w:space="0" w:color="auto"/>
      </w:divBdr>
      <w:divsChild>
        <w:div w:id="1320497696">
          <w:marLeft w:val="0"/>
          <w:marRight w:val="0"/>
          <w:marTop w:val="0"/>
          <w:marBottom w:val="0"/>
          <w:divBdr>
            <w:top w:val="none" w:sz="0" w:space="0" w:color="auto"/>
            <w:left w:val="none" w:sz="0" w:space="0" w:color="auto"/>
            <w:bottom w:val="none" w:sz="0" w:space="0" w:color="auto"/>
            <w:right w:val="none" w:sz="0" w:space="0" w:color="auto"/>
          </w:divBdr>
          <w:divsChild>
            <w:div w:id="1210919951">
              <w:marLeft w:val="0"/>
              <w:marRight w:val="0"/>
              <w:marTop w:val="0"/>
              <w:marBottom w:val="0"/>
              <w:divBdr>
                <w:top w:val="none" w:sz="0" w:space="0" w:color="auto"/>
                <w:left w:val="none" w:sz="0" w:space="0" w:color="auto"/>
                <w:bottom w:val="none" w:sz="0" w:space="0" w:color="auto"/>
                <w:right w:val="none" w:sz="0" w:space="0" w:color="auto"/>
              </w:divBdr>
              <w:divsChild>
                <w:div w:id="777330672">
                  <w:marLeft w:val="0"/>
                  <w:marRight w:val="0"/>
                  <w:marTop w:val="0"/>
                  <w:marBottom w:val="0"/>
                  <w:divBdr>
                    <w:top w:val="none" w:sz="0" w:space="0" w:color="auto"/>
                    <w:left w:val="none" w:sz="0" w:space="0" w:color="auto"/>
                    <w:bottom w:val="none" w:sz="0" w:space="0" w:color="auto"/>
                    <w:right w:val="none" w:sz="0" w:space="0" w:color="auto"/>
                  </w:divBdr>
                  <w:divsChild>
                    <w:div w:id="2054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41409">
      <w:bodyDiv w:val="1"/>
      <w:marLeft w:val="0"/>
      <w:marRight w:val="0"/>
      <w:marTop w:val="0"/>
      <w:marBottom w:val="0"/>
      <w:divBdr>
        <w:top w:val="none" w:sz="0" w:space="0" w:color="auto"/>
        <w:left w:val="none" w:sz="0" w:space="0" w:color="auto"/>
        <w:bottom w:val="none" w:sz="0" w:space="0" w:color="auto"/>
        <w:right w:val="none" w:sz="0" w:space="0" w:color="auto"/>
      </w:divBdr>
      <w:divsChild>
        <w:div w:id="751665058">
          <w:marLeft w:val="0"/>
          <w:marRight w:val="0"/>
          <w:marTop w:val="0"/>
          <w:marBottom w:val="0"/>
          <w:divBdr>
            <w:top w:val="none" w:sz="0" w:space="0" w:color="auto"/>
            <w:left w:val="none" w:sz="0" w:space="0" w:color="auto"/>
            <w:bottom w:val="none" w:sz="0" w:space="0" w:color="auto"/>
            <w:right w:val="none" w:sz="0" w:space="0" w:color="auto"/>
          </w:divBdr>
          <w:divsChild>
            <w:div w:id="1237475446">
              <w:marLeft w:val="0"/>
              <w:marRight w:val="0"/>
              <w:marTop w:val="0"/>
              <w:marBottom w:val="0"/>
              <w:divBdr>
                <w:top w:val="none" w:sz="0" w:space="0" w:color="auto"/>
                <w:left w:val="none" w:sz="0" w:space="0" w:color="auto"/>
                <w:bottom w:val="none" w:sz="0" w:space="0" w:color="auto"/>
                <w:right w:val="none" w:sz="0" w:space="0" w:color="auto"/>
              </w:divBdr>
              <w:divsChild>
                <w:div w:id="50888184">
                  <w:marLeft w:val="0"/>
                  <w:marRight w:val="0"/>
                  <w:marTop w:val="0"/>
                  <w:marBottom w:val="0"/>
                  <w:divBdr>
                    <w:top w:val="none" w:sz="0" w:space="0" w:color="auto"/>
                    <w:left w:val="none" w:sz="0" w:space="0" w:color="auto"/>
                    <w:bottom w:val="none" w:sz="0" w:space="0" w:color="auto"/>
                    <w:right w:val="none" w:sz="0" w:space="0" w:color="auto"/>
                  </w:divBdr>
                  <w:divsChild>
                    <w:div w:id="21346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11885750">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22872">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2269">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258303">
      <w:bodyDiv w:val="1"/>
      <w:marLeft w:val="0"/>
      <w:marRight w:val="0"/>
      <w:marTop w:val="0"/>
      <w:marBottom w:val="0"/>
      <w:divBdr>
        <w:top w:val="none" w:sz="0" w:space="0" w:color="auto"/>
        <w:left w:val="none" w:sz="0" w:space="0" w:color="auto"/>
        <w:bottom w:val="none" w:sz="0" w:space="0" w:color="auto"/>
        <w:right w:val="none" w:sz="0" w:space="0" w:color="auto"/>
      </w:divBdr>
      <w:divsChild>
        <w:div w:id="586813843">
          <w:marLeft w:val="0"/>
          <w:marRight w:val="0"/>
          <w:marTop w:val="0"/>
          <w:marBottom w:val="0"/>
          <w:divBdr>
            <w:top w:val="none" w:sz="0" w:space="0" w:color="auto"/>
            <w:left w:val="none" w:sz="0" w:space="0" w:color="auto"/>
            <w:bottom w:val="none" w:sz="0" w:space="0" w:color="auto"/>
            <w:right w:val="none" w:sz="0" w:space="0" w:color="auto"/>
          </w:divBdr>
          <w:divsChild>
            <w:div w:id="400718067">
              <w:marLeft w:val="0"/>
              <w:marRight w:val="0"/>
              <w:marTop w:val="0"/>
              <w:marBottom w:val="0"/>
              <w:divBdr>
                <w:top w:val="none" w:sz="0" w:space="0" w:color="auto"/>
                <w:left w:val="none" w:sz="0" w:space="0" w:color="auto"/>
                <w:bottom w:val="none" w:sz="0" w:space="0" w:color="auto"/>
                <w:right w:val="none" w:sz="0" w:space="0" w:color="auto"/>
              </w:divBdr>
              <w:divsChild>
                <w:div w:id="15161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59924">
      <w:bodyDiv w:val="1"/>
      <w:marLeft w:val="0"/>
      <w:marRight w:val="0"/>
      <w:marTop w:val="0"/>
      <w:marBottom w:val="0"/>
      <w:divBdr>
        <w:top w:val="none" w:sz="0" w:space="0" w:color="auto"/>
        <w:left w:val="none" w:sz="0" w:space="0" w:color="auto"/>
        <w:bottom w:val="none" w:sz="0" w:space="0" w:color="auto"/>
        <w:right w:val="none" w:sz="0" w:space="0" w:color="auto"/>
      </w:divBdr>
      <w:divsChild>
        <w:div w:id="431631007">
          <w:marLeft w:val="0"/>
          <w:marRight w:val="0"/>
          <w:marTop w:val="0"/>
          <w:marBottom w:val="0"/>
          <w:divBdr>
            <w:top w:val="none" w:sz="0" w:space="0" w:color="auto"/>
            <w:left w:val="none" w:sz="0" w:space="0" w:color="auto"/>
            <w:bottom w:val="none" w:sz="0" w:space="0" w:color="auto"/>
            <w:right w:val="none" w:sz="0" w:space="0" w:color="auto"/>
          </w:divBdr>
          <w:divsChild>
            <w:div w:id="826483278">
              <w:marLeft w:val="0"/>
              <w:marRight w:val="0"/>
              <w:marTop w:val="0"/>
              <w:marBottom w:val="0"/>
              <w:divBdr>
                <w:top w:val="none" w:sz="0" w:space="0" w:color="auto"/>
                <w:left w:val="none" w:sz="0" w:space="0" w:color="auto"/>
                <w:bottom w:val="none" w:sz="0" w:space="0" w:color="auto"/>
                <w:right w:val="none" w:sz="0" w:space="0" w:color="auto"/>
              </w:divBdr>
              <w:divsChild>
                <w:div w:id="1312828677">
                  <w:marLeft w:val="0"/>
                  <w:marRight w:val="0"/>
                  <w:marTop w:val="0"/>
                  <w:marBottom w:val="0"/>
                  <w:divBdr>
                    <w:top w:val="none" w:sz="0" w:space="0" w:color="auto"/>
                    <w:left w:val="none" w:sz="0" w:space="0" w:color="auto"/>
                    <w:bottom w:val="none" w:sz="0" w:space="0" w:color="auto"/>
                    <w:right w:val="none" w:sz="0" w:space="0" w:color="auto"/>
                  </w:divBdr>
                  <w:divsChild>
                    <w:div w:id="473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38239">
      <w:bodyDiv w:val="1"/>
      <w:marLeft w:val="0"/>
      <w:marRight w:val="0"/>
      <w:marTop w:val="0"/>
      <w:marBottom w:val="0"/>
      <w:divBdr>
        <w:top w:val="none" w:sz="0" w:space="0" w:color="auto"/>
        <w:left w:val="none" w:sz="0" w:space="0" w:color="auto"/>
        <w:bottom w:val="none" w:sz="0" w:space="0" w:color="auto"/>
        <w:right w:val="none" w:sz="0" w:space="0" w:color="auto"/>
      </w:divBdr>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47752">
      <w:bodyDiv w:val="1"/>
      <w:marLeft w:val="0"/>
      <w:marRight w:val="0"/>
      <w:marTop w:val="0"/>
      <w:marBottom w:val="0"/>
      <w:divBdr>
        <w:top w:val="none" w:sz="0" w:space="0" w:color="auto"/>
        <w:left w:val="none" w:sz="0" w:space="0" w:color="auto"/>
        <w:bottom w:val="none" w:sz="0" w:space="0" w:color="auto"/>
        <w:right w:val="none" w:sz="0" w:space="0" w:color="auto"/>
      </w:divBdr>
      <w:divsChild>
        <w:div w:id="2144039309">
          <w:marLeft w:val="0"/>
          <w:marRight w:val="0"/>
          <w:marTop w:val="0"/>
          <w:marBottom w:val="0"/>
          <w:divBdr>
            <w:top w:val="none" w:sz="0" w:space="0" w:color="auto"/>
            <w:left w:val="none" w:sz="0" w:space="0" w:color="auto"/>
            <w:bottom w:val="none" w:sz="0" w:space="0" w:color="auto"/>
            <w:right w:val="none" w:sz="0" w:space="0" w:color="auto"/>
          </w:divBdr>
          <w:divsChild>
            <w:div w:id="963854364">
              <w:marLeft w:val="0"/>
              <w:marRight w:val="0"/>
              <w:marTop w:val="0"/>
              <w:marBottom w:val="0"/>
              <w:divBdr>
                <w:top w:val="none" w:sz="0" w:space="0" w:color="auto"/>
                <w:left w:val="none" w:sz="0" w:space="0" w:color="auto"/>
                <w:bottom w:val="none" w:sz="0" w:space="0" w:color="auto"/>
                <w:right w:val="none" w:sz="0" w:space="0" w:color="auto"/>
              </w:divBdr>
              <w:divsChild>
                <w:div w:id="12314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77976">
      <w:bodyDiv w:val="1"/>
      <w:marLeft w:val="0"/>
      <w:marRight w:val="0"/>
      <w:marTop w:val="0"/>
      <w:marBottom w:val="0"/>
      <w:divBdr>
        <w:top w:val="none" w:sz="0" w:space="0" w:color="auto"/>
        <w:left w:val="none" w:sz="0" w:space="0" w:color="auto"/>
        <w:bottom w:val="none" w:sz="0" w:space="0" w:color="auto"/>
        <w:right w:val="none" w:sz="0" w:space="0" w:color="auto"/>
      </w:divBdr>
      <w:divsChild>
        <w:div w:id="302469215">
          <w:marLeft w:val="0"/>
          <w:marRight w:val="0"/>
          <w:marTop w:val="0"/>
          <w:marBottom w:val="0"/>
          <w:divBdr>
            <w:top w:val="none" w:sz="0" w:space="0" w:color="auto"/>
            <w:left w:val="none" w:sz="0" w:space="0" w:color="auto"/>
            <w:bottom w:val="none" w:sz="0" w:space="0" w:color="auto"/>
            <w:right w:val="none" w:sz="0" w:space="0" w:color="auto"/>
          </w:divBdr>
          <w:divsChild>
            <w:div w:id="1627277124">
              <w:marLeft w:val="0"/>
              <w:marRight w:val="0"/>
              <w:marTop w:val="0"/>
              <w:marBottom w:val="0"/>
              <w:divBdr>
                <w:top w:val="none" w:sz="0" w:space="0" w:color="auto"/>
                <w:left w:val="none" w:sz="0" w:space="0" w:color="auto"/>
                <w:bottom w:val="none" w:sz="0" w:space="0" w:color="auto"/>
                <w:right w:val="none" w:sz="0" w:space="0" w:color="auto"/>
              </w:divBdr>
              <w:divsChild>
                <w:div w:id="2077973770">
                  <w:marLeft w:val="0"/>
                  <w:marRight w:val="0"/>
                  <w:marTop w:val="0"/>
                  <w:marBottom w:val="0"/>
                  <w:divBdr>
                    <w:top w:val="none" w:sz="0" w:space="0" w:color="auto"/>
                    <w:left w:val="none" w:sz="0" w:space="0" w:color="auto"/>
                    <w:bottom w:val="none" w:sz="0" w:space="0" w:color="auto"/>
                    <w:right w:val="none" w:sz="0" w:space="0" w:color="auto"/>
                  </w:divBdr>
                  <w:divsChild>
                    <w:div w:id="483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realtors.org/research/reports/commercial-market-reports/q3-2021-commercial-market-report/" TargetMode="External"/><Relationship Id="rId13" Type="http://schemas.openxmlformats.org/officeDocument/2006/relationships/hyperlink" Target="https://www.linkedin.com/groups/31801"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twitter.com/REALTORS_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facebook.com/REALTORSVirginia/" TargetMode="External"/><Relationship Id="rId5" Type="http://schemas.openxmlformats.org/officeDocument/2006/relationships/hyperlink" Target="https://virginiarealtors.org/" TargetMode="External"/><Relationship Id="rId15" Type="http://schemas.openxmlformats.org/officeDocument/2006/relationships/theme" Target="theme/theme1.xml"/><Relationship Id="rId10" Type="http://schemas.openxmlformats.org/officeDocument/2006/relationships/hyperlink" Target="http://www.virginiarealtors.org" TargetMode="External"/><Relationship Id="rId4" Type="http://schemas.openxmlformats.org/officeDocument/2006/relationships/webSettings" Target="webSettings.xml"/><Relationship Id="rId9" Type="http://schemas.openxmlformats.org/officeDocument/2006/relationships/hyperlink" Target="https://virginiarealtors.org/research/reports/commercial-market-reports/q3-2021-commercial-market-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2</Pages>
  <Words>591</Words>
  <Characters>3290</Characters>
  <Application>Microsoft Office Word</Application>
  <DocSecurity>0</DocSecurity>
  <Lines>42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219</cp:revision>
  <dcterms:created xsi:type="dcterms:W3CDTF">2020-07-21T11:42:00Z</dcterms:created>
  <dcterms:modified xsi:type="dcterms:W3CDTF">2021-10-18T14:19:00Z</dcterms:modified>
</cp:coreProperties>
</file>