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D1787F" w14:textId="52429289" w:rsidR="000E6E54" w:rsidRDefault="00D41BE0" w:rsidP="00BA4F47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EFC6A8F" wp14:editId="76827BBC">
            <wp:extent cx="5943600" cy="1168400"/>
            <wp:effectExtent l="0" t="0" r="0" b="0"/>
            <wp:docPr id="2" name="Picture 2" descr="Char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3F206B1E" w14:textId="4C32D63D" w:rsidR="00BA4F47" w:rsidRPr="00CB4814" w:rsidRDefault="00BA4F47" w:rsidP="00BA4F47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7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446CC1AB" w14:textId="77777777" w:rsidR="00EF2F38" w:rsidRDefault="00EF2F38" w:rsidP="009A2A5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D5D05C" w14:textId="79A02FA6" w:rsidR="00066F27" w:rsidRPr="00066F27" w:rsidRDefault="00066F27" w:rsidP="00066F27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066F27">
        <w:rPr>
          <w:rFonts w:asciiTheme="minorHAnsi" w:hAnsiTheme="minorHAnsi" w:cstheme="minorHAnsi"/>
          <w:b/>
          <w:bCs/>
          <w:color w:val="000000"/>
          <w:sz w:val="22"/>
          <w:szCs w:val="22"/>
        </w:rPr>
        <w:t>Virginia REALTORS® Releases 202</w:t>
      </w:r>
      <w:r w:rsidR="00ED1202">
        <w:rPr>
          <w:rFonts w:asciiTheme="minorHAnsi" w:hAnsiTheme="minorHAnsi" w:cstheme="minorHAnsi"/>
          <w:b/>
          <w:bCs/>
          <w:color w:val="000000"/>
          <w:sz w:val="22"/>
          <w:szCs w:val="22"/>
        </w:rPr>
        <w:t>2</w:t>
      </w:r>
      <w:r w:rsidRPr="00066F2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Economic &amp; Housing Market Forecast </w:t>
      </w:r>
    </w:p>
    <w:p w14:paraId="7FD34713" w14:textId="4DA32D87" w:rsidR="00066F27" w:rsidRDefault="00066F27" w:rsidP="006A02AB">
      <w:pPr>
        <w:shd w:val="clear" w:color="auto" w:fill="FFFFFF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66F27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Chief Economist predicts </w:t>
      </w:r>
      <w:r w:rsidR="006A02AB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 slowdown in home sales and price growth</w:t>
      </w:r>
      <w:r w:rsidR="009D0A7D">
        <w:rPr>
          <w:rFonts w:asciiTheme="minorHAnsi" w:hAnsiTheme="minorHAnsi" w:cstheme="minorHAnsi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next year after remarkable performance during the pandemic</w:t>
      </w:r>
    </w:p>
    <w:p w14:paraId="46D2A9D4" w14:textId="77777777" w:rsidR="006A02AB" w:rsidRPr="00066F27" w:rsidRDefault="006A02AB" w:rsidP="006A02AB">
      <w:pPr>
        <w:shd w:val="clear" w:color="auto" w:fill="FFFFFF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675A9BDC" w14:textId="4BA77E40" w:rsidR="00066F27" w:rsidRPr="00066F27" w:rsidRDefault="00066F27" w:rsidP="00066F27">
      <w:pPr>
        <w:pStyle w:val="NoSpacing"/>
        <w:rPr>
          <w:rFonts w:cstheme="minorHAnsi"/>
          <w:color w:val="000000"/>
        </w:rPr>
      </w:pPr>
      <w:r w:rsidRPr="00066F27">
        <w:rPr>
          <w:rFonts w:cstheme="minorHAnsi"/>
          <w:color w:val="000000"/>
        </w:rPr>
        <w:t>RICHMOND, Va. (</w:t>
      </w:r>
      <w:r w:rsidR="00ED1202">
        <w:rPr>
          <w:rFonts w:cstheme="minorHAnsi"/>
          <w:color w:val="000000"/>
        </w:rPr>
        <w:t>September 24</w:t>
      </w:r>
      <w:r w:rsidRPr="00066F27">
        <w:rPr>
          <w:rFonts w:cstheme="minorHAnsi"/>
          <w:color w:val="000000"/>
        </w:rPr>
        <w:t>, 202</w:t>
      </w:r>
      <w:r w:rsidR="00ED1202">
        <w:rPr>
          <w:rFonts w:cstheme="minorHAnsi"/>
          <w:color w:val="000000"/>
        </w:rPr>
        <w:t>1</w:t>
      </w:r>
      <w:r w:rsidRPr="00066F27">
        <w:rPr>
          <w:rFonts w:cstheme="minorHAnsi"/>
          <w:color w:val="000000"/>
        </w:rPr>
        <w:t xml:space="preserve">) – Virginia’s largest trade association has released its </w:t>
      </w:r>
      <w:hyperlink r:id="rId8" w:history="1">
        <w:r w:rsidRPr="001A2D52">
          <w:rPr>
            <w:rStyle w:val="Hyperlink"/>
            <w:rFonts w:cstheme="minorHAnsi"/>
          </w:rPr>
          <w:t>202</w:t>
        </w:r>
        <w:r w:rsidR="00ED1202" w:rsidRPr="001A2D52">
          <w:rPr>
            <w:rStyle w:val="Hyperlink"/>
            <w:rFonts w:cstheme="minorHAnsi"/>
          </w:rPr>
          <w:t>2</w:t>
        </w:r>
        <w:r w:rsidRPr="001A2D52">
          <w:rPr>
            <w:rStyle w:val="Hyperlink"/>
            <w:rFonts w:cstheme="minorHAnsi"/>
          </w:rPr>
          <w:t xml:space="preserve"> Economic &amp; Housing Market Forecast</w:t>
        </w:r>
      </w:hyperlink>
      <w:r w:rsidRPr="00066F27">
        <w:rPr>
          <w:rFonts w:cstheme="minorHAnsi"/>
          <w:color w:val="000000"/>
        </w:rPr>
        <w:t xml:space="preserve">, </w:t>
      </w:r>
      <w:r w:rsidR="00C66D30">
        <w:rPr>
          <w:rFonts w:cstheme="minorHAnsi"/>
          <w:color w:val="000000"/>
        </w:rPr>
        <w:t>which looks</w:t>
      </w:r>
      <w:r w:rsidRPr="00066F27">
        <w:rPr>
          <w:rFonts w:cstheme="minorHAnsi"/>
          <w:color w:val="000000"/>
        </w:rPr>
        <w:t xml:space="preserve"> at what</w:t>
      </w:r>
      <w:r w:rsidR="00C66D30">
        <w:rPr>
          <w:rFonts w:cstheme="minorHAnsi"/>
          <w:color w:val="000000"/>
        </w:rPr>
        <w:t xml:space="preserve"> is</w:t>
      </w:r>
      <w:r w:rsidRPr="00066F27">
        <w:rPr>
          <w:rFonts w:cstheme="minorHAnsi"/>
          <w:color w:val="000000"/>
        </w:rPr>
        <w:t xml:space="preserve"> ahead for </w:t>
      </w:r>
      <w:r w:rsidR="00BF29FB">
        <w:rPr>
          <w:rFonts w:cstheme="minorHAnsi"/>
          <w:color w:val="000000"/>
        </w:rPr>
        <w:t>the commonwealth</w:t>
      </w:r>
      <w:r w:rsidRPr="00066F27">
        <w:rPr>
          <w:rFonts w:cstheme="minorHAnsi"/>
          <w:color w:val="000000"/>
        </w:rPr>
        <w:t>. </w:t>
      </w:r>
    </w:p>
    <w:p w14:paraId="1A1A3FC9" w14:textId="77777777" w:rsidR="00066F27" w:rsidRPr="00066F27" w:rsidRDefault="00066F27" w:rsidP="00066F2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6AE7BC8" w14:textId="6189B3FE" w:rsidR="00AF7DE4" w:rsidRDefault="000817C7" w:rsidP="005C715F">
      <w:pPr>
        <w:rPr>
          <w:rFonts w:asciiTheme="minorHAnsi" w:hAnsiTheme="minorHAnsi" w:cstheme="minorHAnsi"/>
          <w:sz w:val="22"/>
          <w:szCs w:val="22"/>
        </w:rPr>
      </w:pPr>
      <w:r w:rsidRPr="005C715F">
        <w:rPr>
          <w:rFonts w:asciiTheme="minorHAnsi" w:hAnsiTheme="minorHAnsi" w:cstheme="minorHAnsi"/>
          <w:sz w:val="22"/>
          <w:szCs w:val="22"/>
        </w:rPr>
        <w:t xml:space="preserve">Overall, the job and unemployment forecasts reflect the fact that our economy is still being driven by COVID. By the end of 2022, it is expected that </w:t>
      </w:r>
      <w:r w:rsidR="00AF7DE4">
        <w:rPr>
          <w:rFonts w:asciiTheme="minorHAnsi" w:hAnsiTheme="minorHAnsi" w:cstheme="minorHAnsi"/>
          <w:sz w:val="22"/>
          <w:szCs w:val="22"/>
        </w:rPr>
        <w:t>job totals and the statewide unemployment rate</w:t>
      </w:r>
      <w:r w:rsidRPr="005C715F">
        <w:rPr>
          <w:rFonts w:asciiTheme="minorHAnsi" w:hAnsiTheme="minorHAnsi" w:cstheme="minorHAnsi"/>
          <w:sz w:val="22"/>
          <w:szCs w:val="22"/>
        </w:rPr>
        <w:t xml:space="preserve"> will </w:t>
      </w:r>
      <w:r w:rsidR="004F0665">
        <w:rPr>
          <w:rFonts w:asciiTheme="minorHAnsi" w:hAnsiTheme="minorHAnsi" w:cstheme="minorHAnsi"/>
          <w:sz w:val="22"/>
          <w:szCs w:val="22"/>
        </w:rPr>
        <w:t>be</w:t>
      </w:r>
      <w:r w:rsidRPr="005C715F">
        <w:rPr>
          <w:rFonts w:asciiTheme="minorHAnsi" w:hAnsiTheme="minorHAnsi" w:cstheme="minorHAnsi"/>
          <w:sz w:val="22"/>
          <w:szCs w:val="22"/>
        </w:rPr>
        <w:t xml:space="preserve"> back close to pre-pandemic levels. </w:t>
      </w:r>
    </w:p>
    <w:p w14:paraId="410F4E09" w14:textId="77777777" w:rsidR="00BF29FB" w:rsidRDefault="00BF29FB" w:rsidP="005C715F">
      <w:pPr>
        <w:rPr>
          <w:rFonts w:asciiTheme="minorHAnsi" w:hAnsiTheme="minorHAnsi" w:cstheme="minorHAnsi"/>
          <w:sz w:val="22"/>
          <w:szCs w:val="22"/>
        </w:rPr>
      </w:pPr>
    </w:p>
    <w:p w14:paraId="7CEE218A" w14:textId="176FE613" w:rsidR="003C6C3B" w:rsidRPr="006A02AB" w:rsidRDefault="00BF29FB" w:rsidP="005C71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0817C7" w:rsidRPr="005C715F">
        <w:rPr>
          <w:rFonts w:asciiTheme="minorHAnsi" w:hAnsiTheme="minorHAnsi" w:cstheme="minorHAnsi"/>
          <w:sz w:val="22"/>
          <w:szCs w:val="22"/>
        </w:rPr>
        <w:t>While home sales activity in 2021 will surpass even the strong performance of 2020, next year will be a little different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817C7" w:rsidRPr="005C715F">
        <w:rPr>
          <w:rFonts w:asciiTheme="minorHAnsi" w:hAnsiTheme="minorHAnsi" w:cstheme="minorHAnsi"/>
          <w:sz w:val="22"/>
          <w:szCs w:val="22"/>
        </w:rPr>
        <w:t>due primarily to rising affordability challenges, continued low inventory, and a slight uptick in mortgage rates</w:t>
      </w:r>
      <w:r>
        <w:rPr>
          <w:rFonts w:asciiTheme="minorHAnsi" w:hAnsiTheme="minorHAnsi" w:cstheme="minorHAnsi"/>
          <w:sz w:val="22"/>
          <w:szCs w:val="22"/>
        </w:rPr>
        <w:t xml:space="preserve">,” says Virginia REALTORS® </w:t>
      </w:r>
      <w:r w:rsidR="001548E1">
        <w:rPr>
          <w:rFonts w:asciiTheme="minorHAnsi" w:hAnsiTheme="minorHAnsi" w:cstheme="minorHAnsi"/>
          <w:sz w:val="22"/>
          <w:szCs w:val="22"/>
        </w:rPr>
        <w:t>Chief Economist Lisa Sturtevant</w:t>
      </w:r>
      <w:r w:rsidR="00E52518">
        <w:rPr>
          <w:rFonts w:asciiTheme="minorHAnsi" w:hAnsiTheme="minorHAnsi" w:cstheme="minorHAnsi"/>
          <w:sz w:val="22"/>
          <w:szCs w:val="22"/>
        </w:rPr>
        <w:t>, PhD</w:t>
      </w:r>
      <w:r>
        <w:rPr>
          <w:rFonts w:asciiTheme="minorHAnsi" w:hAnsiTheme="minorHAnsi" w:cstheme="minorHAnsi"/>
          <w:sz w:val="22"/>
          <w:szCs w:val="22"/>
        </w:rPr>
        <w:t>.</w:t>
      </w:r>
      <w:r w:rsidR="000817C7" w:rsidRPr="005C715F">
        <w:rPr>
          <w:rFonts w:asciiTheme="minorHAnsi" w:hAnsiTheme="minorHAnsi" w:cstheme="minorHAnsi"/>
          <w:sz w:val="22"/>
          <w:szCs w:val="22"/>
        </w:rPr>
        <w:t xml:space="preserve"> Prices will continue to rise in 2022, though the rate of price growth will slow as demand softens a bit and inventory expands, making it a more typical year for price appreciation.</w:t>
      </w:r>
    </w:p>
    <w:p w14:paraId="49ECCAE7" w14:textId="77777777" w:rsidR="00F02BAA" w:rsidRDefault="00066F27" w:rsidP="00F02BAA">
      <w:pPr>
        <w:numPr>
          <w:ilvl w:val="0"/>
          <w:numId w:val="23"/>
        </w:numPr>
        <w:spacing w:before="100" w:beforeAutospacing="1"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3C6C3B">
        <w:rPr>
          <w:rFonts w:asciiTheme="minorHAnsi" w:hAnsiTheme="minorHAnsi" w:cstheme="minorHAnsi"/>
          <w:b/>
          <w:bCs/>
          <w:color w:val="000000"/>
          <w:sz w:val="22"/>
          <w:szCs w:val="22"/>
        </w:rPr>
        <w:t>Total Jobs in Virginia:</w:t>
      </w:r>
      <w:r w:rsidRPr="003C6C3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C6C3B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Pr="003C6C3B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3C6C3B" w:rsidRPr="003C6C3B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3C6C3B">
        <w:rPr>
          <w:rFonts w:asciiTheme="minorHAnsi" w:hAnsiTheme="minorHAnsi" w:cstheme="minorHAnsi"/>
          <w:color w:val="000000"/>
          <w:sz w:val="22"/>
          <w:szCs w:val="22"/>
        </w:rPr>
        <w:t xml:space="preserve">, we </w:t>
      </w:r>
      <w:r w:rsidR="00926C5D">
        <w:rPr>
          <w:rFonts w:asciiTheme="minorHAnsi" w:hAnsiTheme="minorHAnsi" w:cstheme="minorHAnsi"/>
          <w:color w:val="000000"/>
          <w:sz w:val="22"/>
          <w:szCs w:val="22"/>
        </w:rPr>
        <w:t xml:space="preserve">forecast </w:t>
      </w:r>
      <w:r w:rsidR="003C6C3B" w:rsidRPr="003C6C3B">
        <w:rPr>
          <w:rFonts w:asciiTheme="minorHAnsi" w:hAnsiTheme="minorHAnsi" w:cstheme="minorHAnsi"/>
          <w:color w:val="000000"/>
          <w:sz w:val="22"/>
          <w:szCs w:val="22"/>
        </w:rPr>
        <w:t>2% more jobs will be added than</w:t>
      </w:r>
      <w:r w:rsidR="003C6C3B">
        <w:rPr>
          <w:rFonts w:asciiTheme="minorHAnsi" w:hAnsiTheme="minorHAnsi" w:cstheme="minorHAnsi"/>
          <w:color w:val="000000"/>
          <w:sz w:val="22"/>
          <w:szCs w:val="22"/>
        </w:rPr>
        <w:t xml:space="preserve"> in</w:t>
      </w:r>
      <w:r w:rsidR="003C6C3B" w:rsidRPr="003C6C3B">
        <w:rPr>
          <w:rFonts w:asciiTheme="minorHAnsi" w:hAnsiTheme="minorHAnsi" w:cstheme="minorHAnsi"/>
          <w:color w:val="000000"/>
          <w:sz w:val="22"/>
          <w:szCs w:val="22"/>
        </w:rPr>
        <w:t xml:space="preserve"> 2021. </w:t>
      </w:r>
      <w:r w:rsidR="00F02BAA">
        <w:rPr>
          <w:rFonts w:asciiTheme="minorHAnsi" w:hAnsiTheme="minorHAnsi" w:cstheme="minorHAnsi"/>
          <w:sz w:val="22"/>
          <w:szCs w:val="22"/>
        </w:rPr>
        <w:t>The</w:t>
      </w:r>
      <w:r w:rsidR="003C6C3B" w:rsidRPr="003C6C3B">
        <w:rPr>
          <w:rFonts w:asciiTheme="minorHAnsi" w:hAnsiTheme="minorHAnsi" w:cstheme="minorHAnsi"/>
          <w:sz w:val="22"/>
          <w:szCs w:val="22"/>
        </w:rPr>
        <w:t xml:space="preserve"> pace of job growth will accelerate</w:t>
      </w:r>
      <w:r w:rsidR="00F02BAA">
        <w:rPr>
          <w:rFonts w:asciiTheme="minorHAnsi" w:hAnsiTheme="minorHAnsi" w:cstheme="minorHAnsi"/>
          <w:sz w:val="22"/>
          <w:szCs w:val="22"/>
        </w:rPr>
        <w:t xml:space="preserve"> next year</w:t>
      </w:r>
      <w:r w:rsidR="003C6C3B" w:rsidRPr="003C6C3B">
        <w:rPr>
          <w:rFonts w:asciiTheme="minorHAnsi" w:hAnsiTheme="minorHAnsi" w:cstheme="minorHAnsi"/>
          <w:sz w:val="22"/>
          <w:szCs w:val="22"/>
        </w:rPr>
        <w:t xml:space="preserve">, </w:t>
      </w:r>
      <w:r w:rsidR="00F02BAA">
        <w:rPr>
          <w:rFonts w:asciiTheme="minorHAnsi" w:hAnsiTheme="minorHAnsi" w:cstheme="minorHAnsi"/>
          <w:sz w:val="22"/>
          <w:szCs w:val="22"/>
        </w:rPr>
        <w:t xml:space="preserve">and </w:t>
      </w:r>
      <w:r w:rsidR="003C6C3B" w:rsidRPr="003C6C3B">
        <w:rPr>
          <w:rFonts w:asciiTheme="minorHAnsi" w:hAnsiTheme="minorHAnsi" w:cstheme="minorHAnsi"/>
          <w:sz w:val="22"/>
          <w:szCs w:val="22"/>
        </w:rPr>
        <w:t xml:space="preserve">total employment is expected to </w:t>
      </w:r>
      <w:r w:rsidR="00F02BAA">
        <w:rPr>
          <w:rFonts w:asciiTheme="minorHAnsi" w:hAnsiTheme="minorHAnsi" w:cstheme="minorHAnsi"/>
          <w:sz w:val="22"/>
          <w:szCs w:val="22"/>
        </w:rPr>
        <w:t>hit</w:t>
      </w:r>
      <w:r w:rsidR="003C6C3B" w:rsidRPr="003C6C3B">
        <w:rPr>
          <w:rFonts w:asciiTheme="minorHAnsi" w:hAnsiTheme="minorHAnsi" w:cstheme="minorHAnsi"/>
          <w:sz w:val="22"/>
          <w:szCs w:val="22"/>
        </w:rPr>
        <w:t xml:space="preserve"> pre-pandemic levels </w:t>
      </w:r>
      <w:r w:rsidR="00F02BAA">
        <w:rPr>
          <w:rFonts w:asciiTheme="minorHAnsi" w:hAnsiTheme="minorHAnsi" w:cstheme="minorHAnsi"/>
          <w:sz w:val="22"/>
          <w:szCs w:val="22"/>
        </w:rPr>
        <w:t>by</w:t>
      </w:r>
      <w:r w:rsidR="003C6C3B" w:rsidRPr="003C6C3B">
        <w:rPr>
          <w:rFonts w:asciiTheme="minorHAnsi" w:hAnsiTheme="minorHAnsi" w:cstheme="minorHAnsi"/>
          <w:sz w:val="22"/>
          <w:szCs w:val="22"/>
        </w:rPr>
        <w:t xml:space="preserve"> the end of 2022. </w:t>
      </w:r>
    </w:p>
    <w:p w14:paraId="3C6AEB6E" w14:textId="73A2DC5D" w:rsidR="00066F27" w:rsidRPr="00F02BAA" w:rsidRDefault="00066F27" w:rsidP="00F02BAA">
      <w:pPr>
        <w:numPr>
          <w:ilvl w:val="0"/>
          <w:numId w:val="23"/>
        </w:numPr>
        <w:spacing w:before="100" w:beforeAutospacing="1"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F02BAA">
        <w:rPr>
          <w:rFonts w:asciiTheme="minorHAnsi" w:hAnsiTheme="minorHAnsi" w:cstheme="minorHAnsi"/>
          <w:b/>
          <w:bCs/>
          <w:color w:val="000000"/>
          <w:sz w:val="22"/>
          <w:szCs w:val="22"/>
        </w:rPr>
        <w:t>Unemployment:</w:t>
      </w:r>
      <w:r w:rsidRPr="00F02BA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Virginia’s unemployment rate is expected to continue improving in 202</w:t>
      </w:r>
      <w:r w:rsidR="00A66084"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</w:t>
      </w:r>
      <w:r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falling to </w:t>
      </w:r>
      <w:r w:rsidR="00A66084"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3</w:t>
      </w:r>
      <w:r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% by the end of the year, </w:t>
      </w:r>
      <w:r w:rsidR="00A66084"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half a percentage point</w:t>
      </w:r>
      <w:r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66084"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lower </w:t>
      </w:r>
      <w:r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than 202</w:t>
      </w:r>
      <w:r w:rsidR="00A66084"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</w:t>
      </w:r>
      <w:r w:rsidRPr="00F02BA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F02BAA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CD6AD88" w14:textId="1D3454F9" w:rsidR="00066F27" w:rsidRPr="00066F27" w:rsidRDefault="00066F27" w:rsidP="00066F27">
      <w:pPr>
        <w:numPr>
          <w:ilvl w:val="0"/>
          <w:numId w:val="23"/>
        </w:numPr>
        <w:spacing w:before="100" w:beforeAutospacing="1"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066F27">
        <w:rPr>
          <w:rFonts w:asciiTheme="minorHAnsi" w:hAnsiTheme="minorHAnsi" w:cstheme="minorHAnsi"/>
          <w:b/>
          <w:bCs/>
          <w:sz w:val="22"/>
          <w:szCs w:val="22"/>
        </w:rPr>
        <w:t>Home Sales:</w:t>
      </w:r>
      <w:r w:rsidRPr="00066F2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26C5D" w:rsidRPr="00926C5D">
        <w:rPr>
          <w:rFonts w:asciiTheme="minorHAnsi" w:hAnsiTheme="minorHAnsi" w:cstheme="minorHAnsi"/>
          <w:sz w:val="22"/>
          <w:szCs w:val="22"/>
        </w:rPr>
        <w:t xml:space="preserve">Our projections are for a total of about </w:t>
      </w:r>
      <w:r w:rsidR="00926C5D" w:rsidRPr="006A02AB">
        <w:rPr>
          <w:rFonts w:asciiTheme="minorHAnsi" w:hAnsiTheme="minorHAnsi" w:cstheme="minorHAnsi"/>
          <w:sz w:val="22"/>
          <w:szCs w:val="22"/>
        </w:rPr>
        <w:t>148,600 home sales statewide in 2021,</w:t>
      </w:r>
      <w:r w:rsidR="00926C5D" w:rsidRPr="00926C5D">
        <w:rPr>
          <w:rFonts w:asciiTheme="minorHAnsi" w:hAnsiTheme="minorHAnsi" w:cstheme="minorHAnsi"/>
          <w:sz w:val="22"/>
          <w:szCs w:val="22"/>
        </w:rPr>
        <w:t xml:space="preserve"> which is up 6.2% from 2020. We are forecasting that sales activity will be down by just about a tenth of a percent in 2022.</w:t>
      </w:r>
    </w:p>
    <w:p w14:paraId="4014895A" w14:textId="77777777" w:rsidR="00926C5D" w:rsidRDefault="00066F27" w:rsidP="00926C5D">
      <w:pPr>
        <w:pStyle w:val="ListParagraph"/>
        <w:numPr>
          <w:ilvl w:val="0"/>
          <w:numId w:val="24"/>
        </w:numPr>
        <w:spacing w:after="160" w:line="259" w:lineRule="auto"/>
        <w:contextualSpacing w:val="0"/>
      </w:pPr>
      <w:r w:rsidRPr="00066F27">
        <w:rPr>
          <w:rFonts w:asciiTheme="minorHAnsi" w:hAnsiTheme="minorHAnsi" w:cstheme="minorHAnsi"/>
          <w:b/>
          <w:bCs/>
          <w:color w:val="000000"/>
        </w:rPr>
        <w:t>Home Prices:</w:t>
      </w:r>
      <w:r w:rsidRPr="00066F27">
        <w:rPr>
          <w:rFonts w:asciiTheme="minorHAnsi" w:hAnsiTheme="minorHAnsi" w:cstheme="minorHAnsi"/>
          <w:color w:val="000000"/>
        </w:rPr>
        <w:t xml:space="preserve"> </w:t>
      </w:r>
      <w:r w:rsidR="00926C5D">
        <w:rPr>
          <w:rFonts w:asciiTheme="minorHAnsi" w:hAnsiTheme="minorHAnsi" w:cstheme="minorHAnsi"/>
          <w:color w:val="000000"/>
        </w:rPr>
        <w:t xml:space="preserve">While we predict the </w:t>
      </w:r>
      <w:r w:rsidR="00926C5D">
        <w:t xml:space="preserve">2021 </w:t>
      </w:r>
      <w:r w:rsidR="00926C5D" w:rsidRPr="00926C5D">
        <w:t>median home price in Virginia to increase by 9.2%</w:t>
      </w:r>
      <w:r w:rsidR="00926C5D" w:rsidRPr="00E326A8">
        <w:rPr>
          <w:b/>
          <w:bCs/>
        </w:rPr>
        <w:t xml:space="preserve"> </w:t>
      </w:r>
      <w:r w:rsidR="00926C5D" w:rsidRPr="00926C5D">
        <w:t>over 2020,</w:t>
      </w:r>
      <w:r w:rsidR="00926C5D">
        <w:t xml:space="preserve"> the rate of price growth will slow in 2022, with prices up by about 4.1%. </w:t>
      </w:r>
    </w:p>
    <w:p w14:paraId="6B28BB82" w14:textId="5EEB2049" w:rsidR="00066F27" w:rsidRPr="00926C5D" w:rsidRDefault="00066F27" w:rsidP="00926C5D">
      <w:pPr>
        <w:pStyle w:val="ListParagraph"/>
        <w:numPr>
          <w:ilvl w:val="0"/>
          <w:numId w:val="24"/>
        </w:numPr>
        <w:spacing w:after="160" w:line="259" w:lineRule="auto"/>
        <w:contextualSpacing w:val="0"/>
      </w:pPr>
      <w:r w:rsidRPr="00926C5D">
        <w:rPr>
          <w:rFonts w:asciiTheme="minorHAnsi" w:hAnsiTheme="minorHAnsi" w:cstheme="minorHAnsi"/>
          <w:b/>
          <w:bCs/>
          <w:color w:val="000000"/>
        </w:rPr>
        <w:t>New Housing Permits:</w:t>
      </w:r>
      <w:r w:rsidRPr="00926C5D">
        <w:rPr>
          <w:rFonts w:asciiTheme="minorHAnsi" w:hAnsiTheme="minorHAnsi" w:cstheme="minorHAnsi"/>
          <w:color w:val="000000"/>
        </w:rPr>
        <w:t xml:space="preserve"> </w:t>
      </w:r>
      <w:r w:rsidR="000543C1" w:rsidRPr="00627F07">
        <w:t xml:space="preserve">We are forecasting that a total of about </w:t>
      </w:r>
      <w:r w:rsidR="000543C1" w:rsidRPr="000543C1">
        <w:t>37,000 new housing units will be built in Virginia in 2021, up 10.3% compared to 2020.</w:t>
      </w:r>
      <w:r w:rsidR="000543C1">
        <w:t xml:space="preserve"> We predict a modest 0.5% rise in 2022</w:t>
      </w:r>
      <w:r w:rsidR="00801963">
        <w:t>, reflecting longer-term constraints to new housing construction</w:t>
      </w:r>
      <w:r w:rsidR="000543C1">
        <w:t>.</w:t>
      </w:r>
    </w:p>
    <w:p w14:paraId="65AC16E7" w14:textId="039AF810" w:rsidR="000817C7" w:rsidRPr="00EB7865" w:rsidRDefault="00066F27" w:rsidP="006A02AB">
      <w:pPr>
        <w:pStyle w:val="ListParagraph"/>
        <w:numPr>
          <w:ilvl w:val="0"/>
          <w:numId w:val="24"/>
        </w:numPr>
        <w:spacing w:after="160" w:line="259" w:lineRule="auto"/>
        <w:contextualSpacing w:val="0"/>
      </w:pPr>
      <w:r w:rsidRPr="00066F27">
        <w:rPr>
          <w:rFonts w:asciiTheme="minorHAnsi" w:hAnsiTheme="minorHAnsi" w:cstheme="minorHAnsi"/>
          <w:b/>
          <w:bCs/>
          <w:color w:val="000000"/>
        </w:rPr>
        <w:t>Mortgage Rates:</w:t>
      </w:r>
      <w:r w:rsidRPr="00066F27">
        <w:rPr>
          <w:rFonts w:asciiTheme="minorHAnsi" w:hAnsiTheme="minorHAnsi" w:cstheme="minorHAnsi"/>
          <w:color w:val="000000"/>
        </w:rPr>
        <w:t xml:space="preserve"> </w:t>
      </w:r>
      <w:r w:rsidR="006A02AB" w:rsidRPr="00936B6B">
        <w:rPr>
          <w:sz w:val="24"/>
          <w:szCs w:val="24"/>
        </w:rPr>
        <w:t xml:space="preserve">It is expected that the 30-year fixed-rate mortgage rate will </w:t>
      </w:r>
      <w:r w:rsidR="006A02AB">
        <w:rPr>
          <w:sz w:val="24"/>
          <w:szCs w:val="24"/>
        </w:rPr>
        <w:t xml:space="preserve">be </w:t>
      </w:r>
      <w:r w:rsidR="006A02AB" w:rsidRPr="006A02AB">
        <w:rPr>
          <w:sz w:val="24"/>
          <w:szCs w:val="24"/>
        </w:rPr>
        <w:t>3.1% in December of 2021 and will rise to 4.0% by the end of 2022.</w:t>
      </w:r>
    </w:p>
    <w:p w14:paraId="6B2B4178" w14:textId="1F338CB2" w:rsidR="00EB7865" w:rsidRPr="00EB7865" w:rsidRDefault="00EB7865" w:rsidP="00EB7865">
      <w:pPr>
        <w:rPr>
          <w:rFonts w:asciiTheme="minorHAnsi" w:hAnsiTheme="minorHAnsi" w:cstheme="minorHAnsi"/>
          <w:sz w:val="22"/>
          <w:szCs w:val="22"/>
        </w:rPr>
      </w:pPr>
      <w:r w:rsidRPr="00EB786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lastRenderedPageBreak/>
        <w:t>“As Virginia’s economy continues to improve, Virginia REALTORS® members continue to provide professional expertise to home buyers and sellers that are navigating this changing housing market</w:t>
      </w: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,</w:t>
      </w:r>
      <w:r w:rsidRPr="00EB786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”</w:t>
      </w:r>
      <w:r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 xml:space="preserve"> says Virginia REALTORS® 2021 President Beth Dalton.</w:t>
      </w:r>
    </w:p>
    <w:p w14:paraId="7819AE1E" w14:textId="77777777" w:rsidR="00EB7865" w:rsidRDefault="00EB7865" w:rsidP="000817C7">
      <w:pPr>
        <w:pStyle w:val="ListParagraph"/>
        <w:ind w:left="0"/>
        <w:jc w:val="both"/>
        <w:rPr>
          <w:rFonts w:asciiTheme="minorHAnsi" w:hAnsiTheme="minorHAnsi" w:cstheme="minorHAnsi"/>
        </w:rPr>
      </w:pPr>
    </w:p>
    <w:p w14:paraId="2B4D14A2" w14:textId="5439506C" w:rsidR="00424BF2" w:rsidRDefault="007C4D0E" w:rsidP="000817C7">
      <w:pPr>
        <w:pStyle w:val="ListParagraph"/>
        <w:ind w:left="0"/>
        <w:jc w:val="both"/>
        <w:rPr>
          <w:rFonts w:asciiTheme="minorHAnsi" w:hAnsiTheme="minorHAnsi" w:cstheme="minorHAnsi"/>
          <w:color w:val="000000"/>
        </w:rPr>
      </w:pPr>
      <w:hyperlink r:id="rId9" w:history="1">
        <w:r w:rsidR="00066F27" w:rsidRPr="001A2D52">
          <w:rPr>
            <w:rStyle w:val="Hyperlink"/>
            <w:rFonts w:asciiTheme="minorHAnsi" w:hAnsiTheme="minorHAnsi" w:cstheme="minorHAnsi"/>
          </w:rPr>
          <w:t>Click here</w:t>
        </w:r>
      </w:hyperlink>
      <w:r w:rsidR="00066F27" w:rsidRPr="00066F27">
        <w:rPr>
          <w:rFonts w:asciiTheme="minorHAnsi" w:hAnsiTheme="minorHAnsi" w:cstheme="minorHAnsi"/>
          <w:color w:val="000000"/>
        </w:rPr>
        <w:t xml:space="preserve"> for more details on the Virginia REALTORS</w:t>
      </w:r>
      <w:r w:rsidR="00066F27" w:rsidRPr="00066F27">
        <w:rPr>
          <w:rFonts w:asciiTheme="minorHAnsi" w:hAnsiTheme="minorHAnsi" w:cstheme="minorHAnsi"/>
          <w:color w:val="000000"/>
          <w:vertAlign w:val="superscript"/>
        </w:rPr>
        <w:t>®</w:t>
      </w:r>
      <w:r w:rsidR="00066F27" w:rsidRPr="00066F27">
        <w:rPr>
          <w:rFonts w:asciiTheme="minorHAnsi" w:hAnsiTheme="minorHAnsi" w:cstheme="minorHAnsi"/>
          <w:color w:val="000000"/>
        </w:rPr>
        <w:t xml:space="preserve"> 202</w:t>
      </w:r>
      <w:r>
        <w:rPr>
          <w:rFonts w:asciiTheme="minorHAnsi" w:hAnsiTheme="minorHAnsi" w:cstheme="minorHAnsi"/>
          <w:color w:val="000000"/>
        </w:rPr>
        <w:t>2</w:t>
      </w:r>
      <w:r w:rsidR="00066F27" w:rsidRPr="00066F27">
        <w:rPr>
          <w:rFonts w:asciiTheme="minorHAnsi" w:hAnsiTheme="minorHAnsi" w:cstheme="minorHAnsi"/>
          <w:color w:val="000000"/>
        </w:rPr>
        <w:t xml:space="preserve"> Economic &amp; Housing Market Forecast. </w:t>
      </w:r>
    </w:p>
    <w:p w14:paraId="1CA07B4C" w14:textId="77777777" w:rsidR="00EB7865" w:rsidRDefault="00EB7865" w:rsidP="00BF29FB">
      <w:pPr>
        <w:pStyle w:val="NoSpacing"/>
        <w:jc w:val="center"/>
        <w:rPr>
          <w:rFonts w:cstheme="minorHAnsi"/>
        </w:rPr>
      </w:pPr>
    </w:p>
    <w:p w14:paraId="4759D090" w14:textId="0C39B34E" w:rsidR="005C715F" w:rsidRDefault="009A15F9" w:rsidP="00BF29FB">
      <w:pPr>
        <w:pStyle w:val="NoSpacing"/>
        <w:jc w:val="center"/>
        <w:rPr>
          <w:rFonts w:cstheme="minorHAnsi"/>
        </w:rPr>
      </w:pPr>
      <w:r w:rsidRPr="00424BF2">
        <w:rPr>
          <w:rFonts w:cstheme="minorHAnsi"/>
        </w:rPr>
        <w:t>#   #   #</w:t>
      </w:r>
    </w:p>
    <w:p w14:paraId="3CDEB505" w14:textId="77777777" w:rsidR="00BF29FB" w:rsidRDefault="00BF29FB" w:rsidP="005C715F">
      <w:pPr>
        <w:pStyle w:val="NoSpacing"/>
        <w:rPr>
          <w:rFonts w:cstheme="minorHAnsi"/>
          <w:b/>
        </w:rPr>
      </w:pPr>
    </w:p>
    <w:p w14:paraId="58D44B26" w14:textId="4690D240" w:rsidR="00066F27" w:rsidRPr="005C715F" w:rsidRDefault="00292200" w:rsidP="005C715F">
      <w:pPr>
        <w:pStyle w:val="NoSpacing"/>
        <w:rPr>
          <w:rFonts w:cstheme="minorHAnsi"/>
          <w:color w:val="000000" w:themeColor="text1"/>
        </w:rPr>
      </w:pPr>
      <w:r w:rsidRPr="00CB4814">
        <w:rPr>
          <w:rFonts w:cstheme="minorHAnsi"/>
          <w:b/>
        </w:rPr>
        <w:t>About Virginia REALTORS®</w:t>
      </w:r>
    </w:p>
    <w:p w14:paraId="5369F1AA" w14:textId="77777777" w:rsidR="00ED1202" w:rsidRPr="00764653" w:rsidRDefault="00ED1202" w:rsidP="00ED1202">
      <w:pPr>
        <w:rPr>
          <w:rFonts w:asciiTheme="minorHAnsi" w:hAnsiTheme="minorHAnsi" w:cstheme="minorHAnsi"/>
          <w:b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Virginia REALTORS® (previously known as the Virginia Association of REALTORS®) is the largest trade association in Virginia, representing 3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CB4814">
        <w:rPr>
          <w:rFonts w:asciiTheme="minorHAnsi" w:hAnsiTheme="minorHAnsi" w:cstheme="minorHAnsi"/>
          <w:sz w:val="22"/>
          <w:szCs w:val="22"/>
        </w:rPr>
        <w:t xml:space="preserve">,000 REALTORS® engaged in the residential and commercial real estate business. Virginia REALTORS® serves as an advocate for homeownership and homeowners and represents the interests of property owners in the Commonwealth of Virginia. For more information, visit </w:t>
      </w:r>
      <w:hyperlink r:id="rId10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 or follow Virginia REALTORS® on </w:t>
      </w:r>
      <w:hyperlink r:id="rId11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Twitter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, and </w:t>
      </w:r>
      <w:hyperlink r:id="rId13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68EF23" w14:textId="77777777" w:rsidR="00ED1202" w:rsidRDefault="00ED1202" w:rsidP="00ED120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F7B4DFE" w14:textId="2EAAC62B" w:rsidR="00163FB5" w:rsidRPr="00CB4814" w:rsidRDefault="00ED1202" w:rsidP="00ED1202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NOTE: The term REALTOR® is a registered collective membership mark that identifies a real estate professional who is a member of the National Association of REALTORS® and subscribes to its strict Code of Ethics.</w:t>
      </w:r>
    </w:p>
    <w:sectPr w:rsidR="00163FB5" w:rsidRPr="00CB4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86081"/>
    <w:multiLevelType w:val="hybridMultilevel"/>
    <w:tmpl w:val="B928D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1731F"/>
    <w:multiLevelType w:val="hybridMultilevel"/>
    <w:tmpl w:val="4656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12CED"/>
    <w:multiLevelType w:val="hybridMultilevel"/>
    <w:tmpl w:val="B308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7F014C"/>
    <w:multiLevelType w:val="hybridMultilevel"/>
    <w:tmpl w:val="F014E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97185F"/>
    <w:multiLevelType w:val="multilevel"/>
    <w:tmpl w:val="589E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468D8"/>
    <w:multiLevelType w:val="multilevel"/>
    <w:tmpl w:val="051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411A2"/>
    <w:multiLevelType w:val="multilevel"/>
    <w:tmpl w:val="417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114983"/>
    <w:multiLevelType w:val="hybridMultilevel"/>
    <w:tmpl w:val="EE64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6770CA"/>
    <w:multiLevelType w:val="multilevel"/>
    <w:tmpl w:val="73F8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410D28"/>
    <w:multiLevelType w:val="hybridMultilevel"/>
    <w:tmpl w:val="E0B8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E133D"/>
    <w:multiLevelType w:val="multilevel"/>
    <w:tmpl w:val="E36E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8"/>
  </w:num>
  <w:num w:numId="3">
    <w:abstractNumId w:val="23"/>
  </w:num>
  <w:num w:numId="4">
    <w:abstractNumId w:val="19"/>
  </w:num>
  <w:num w:numId="5">
    <w:abstractNumId w:val="13"/>
  </w:num>
  <w:num w:numId="6">
    <w:abstractNumId w:val="3"/>
  </w:num>
  <w:num w:numId="7">
    <w:abstractNumId w:val="9"/>
  </w:num>
  <w:num w:numId="8">
    <w:abstractNumId w:val="15"/>
  </w:num>
  <w:num w:numId="9">
    <w:abstractNumId w:val="12"/>
  </w:num>
  <w:num w:numId="10">
    <w:abstractNumId w:val="6"/>
  </w:num>
  <w:num w:numId="11">
    <w:abstractNumId w:val="4"/>
  </w:num>
  <w:num w:numId="12">
    <w:abstractNumId w:val="21"/>
  </w:num>
  <w:num w:numId="13">
    <w:abstractNumId w:val="17"/>
  </w:num>
  <w:num w:numId="14">
    <w:abstractNumId w:val="22"/>
  </w:num>
  <w:num w:numId="15">
    <w:abstractNumId w:val="5"/>
  </w:num>
  <w:num w:numId="16">
    <w:abstractNumId w:val="11"/>
  </w:num>
  <w:num w:numId="17">
    <w:abstractNumId w:val="16"/>
  </w:num>
  <w:num w:numId="18">
    <w:abstractNumId w:val="8"/>
  </w:num>
  <w:num w:numId="19">
    <w:abstractNumId w:val="2"/>
  </w:num>
  <w:num w:numId="20">
    <w:abstractNumId w:val="1"/>
  </w:num>
  <w:num w:numId="21">
    <w:abstractNumId w:val="14"/>
  </w:num>
  <w:num w:numId="22">
    <w:abstractNumId w:val="0"/>
  </w:num>
  <w:num w:numId="23">
    <w:abstractNumId w:val="7"/>
  </w:num>
  <w:num w:numId="24">
    <w:abstractNumId w:val="2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39A5"/>
    <w:rsid w:val="000066AF"/>
    <w:rsid w:val="000127BC"/>
    <w:rsid w:val="00012F8E"/>
    <w:rsid w:val="00013805"/>
    <w:rsid w:val="00017D50"/>
    <w:rsid w:val="00023321"/>
    <w:rsid w:val="00031E79"/>
    <w:rsid w:val="000332A8"/>
    <w:rsid w:val="000360A6"/>
    <w:rsid w:val="000417F3"/>
    <w:rsid w:val="00042180"/>
    <w:rsid w:val="00042481"/>
    <w:rsid w:val="00043541"/>
    <w:rsid w:val="00046204"/>
    <w:rsid w:val="000531E8"/>
    <w:rsid w:val="000543C1"/>
    <w:rsid w:val="000547DE"/>
    <w:rsid w:val="00057324"/>
    <w:rsid w:val="00066113"/>
    <w:rsid w:val="00066F27"/>
    <w:rsid w:val="00072AEF"/>
    <w:rsid w:val="00072AF0"/>
    <w:rsid w:val="000758AC"/>
    <w:rsid w:val="000817C7"/>
    <w:rsid w:val="0008313F"/>
    <w:rsid w:val="00083EC7"/>
    <w:rsid w:val="00085622"/>
    <w:rsid w:val="00095A4A"/>
    <w:rsid w:val="000969FC"/>
    <w:rsid w:val="000A1D7B"/>
    <w:rsid w:val="000A566B"/>
    <w:rsid w:val="000B1FF9"/>
    <w:rsid w:val="000B25F0"/>
    <w:rsid w:val="000B3617"/>
    <w:rsid w:val="000C2435"/>
    <w:rsid w:val="000C5EC2"/>
    <w:rsid w:val="000D3684"/>
    <w:rsid w:val="000D3E75"/>
    <w:rsid w:val="000D476D"/>
    <w:rsid w:val="000E0E37"/>
    <w:rsid w:val="000E1A10"/>
    <w:rsid w:val="000E1C1C"/>
    <w:rsid w:val="000E2E2C"/>
    <w:rsid w:val="000E4914"/>
    <w:rsid w:val="000E6E54"/>
    <w:rsid w:val="000F6ECE"/>
    <w:rsid w:val="00130492"/>
    <w:rsid w:val="00133844"/>
    <w:rsid w:val="0013699F"/>
    <w:rsid w:val="00140B04"/>
    <w:rsid w:val="00141F25"/>
    <w:rsid w:val="001425E6"/>
    <w:rsid w:val="001548E1"/>
    <w:rsid w:val="00163FB5"/>
    <w:rsid w:val="001745CF"/>
    <w:rsid w:val="0017571F"/>
    <w:rsid w:val="00183144"/>
    <w:rsid w:val="00183994"/>
    <w:rsid w:val="00187311"/>
    <w:rsid w:val="001910E4"/>
    <w:rsid w:val="00194E7B"/>
    <w:rsid w:val="001972A9"/>
    <w:rsid w:val="001A2D52"/>
    <w:rsid w:val="001A69EE"/>
    <w:rsid w:val="001A7F14"/>
    <w:rsid w:val="001B5397"/>
    <w:rsid w:val="001C53C1"/>
    <w:rsid w:val="001D222E"/>
    <w:rsid w:val="001D720B"/>
    <w:rsid w:val="001D7752"/>
    <w:rsid w:val="001E1022"/>
    <w:rsid w:val="001F0116"/>
    <w:rsid w:val="001F36C2"/>
    <w:rsid w:val="001F433B"/>
    <w:rsid w:val="001F4F1B"/>
    <w:rsid w:val="0021428E"/>
    <w:rsid w:val="002153B8"/>
    <w:rsid w:val="00220C18"/>
    <w:rsid w:val="002263E7"/>
    <w:rsid w:val="002302F2"/>
    <w:rsid w:val="00253BA8"/>
    <w:rsid w:val="002566D9"/>
    <w:rsid w:val="00264E97"/>
    <w:rsid w:val="002668FB"/>
    <w:rsid w:val="00276D5E"/>
    <w:rsid w:val="00280237"/>
    <w:rsid w:val="002879B1"/>
    <w:rsid w:val="00292200"/>
    <w:rsid w:val="0029765B"/>
    <w:rsid w:val="002B1AA8"/>
    <w:rsid w:val="002B3997"/>
    <w:rsid w:val="002B4C81"/>
    <w:rsid w:val="002C246B"/>
    <w:rsid w:val="002D503A"/>
    <w:rsid w:val="002D5590"/>
    <w:rsid w:val="002D703D"/>
    <w:rsid w:val="003011FB"/>
    <w:rsid w:val="00307774"/>
    <w:rsid w:val="0031205D"/>
    <w:rsid w:val="00326497"/>
    <w:rsid w:val="00332477"/>
    <w:rsid w:val="00332534"/>
    <w:rsid w:val="00334C99"/>
    <w:rsid w:val="003447E0"/>
    <w:rsid w:val="003530A6"/>
    <w:rsid w:val="00355186"/>
    <w:rsid w:val="0036156C"/>
    <w:rsid w:val="0036198D"/>
    <w:rsid w:val="00363D35"/>
    <w:rsid w:val="003659EC"/>
    <w:rsid w:val="00370150"/>
    <w:rsid w:val="00377F4B"/>
    <w:rsid w:val="0038216D"/>
    <w:rsid w:val="003852D3"/>
    <w:rsid w:val="00385D92"/>
    <w:rsid w:val="003906C0"/>
    <w:rsid w:val="00392268"/>
    <w:rsid w:val="003966A9"/>
    <w:rsid w:val="003A02C2"/>
    <w:rsid w:val="003B45C9"/>
    <w:rsid w:val="003B550C"/>
    <w:rsid w:val="003C0C4B"/>
    <w:rsid w:val="003C6C3B"/>
    <w:rsid w:val="003D7C8F"/>
    <w:rsid w:val="003E0A51"/>
    <w:rsid w:val="003F38CE"/>
    <w:rsid w:val="003F6FD6"/>
    <w:rsid w:val="00416EBD"/>
    <w:rsid w:val="00420441"/>
    <w:rsid w:val="00424BF2"/>
    <w:rsid w:val="00426A1A"/>
    <w:rsid w:val="00434F2B"/>
    <w:rsid w:val="00443C48"/>
    <w:rsid w:val="00452518"/>
    <w:rsid w:val="00455405"/>
    <w:rsid w:val="004632CA"/>
    <w:rsid w:val="0047054C"/>
    <w:rsid w:val="0048115C"/>
    <w:rsid w:val="0048220F"/>
    <w:rsid w:val="00484837"/>
    <w:rsid w:val="00484F4E"/>
    <w:rsid w:val="00485F90"/>
    <w:rsid w:val="00486146"/>
    <w:rsid w:val="00487983"/>
    <w:rsid w:val="004A22BD"/>
    <w:rsid w:val="004A24FF"/>
    <w:rsid w:val="004A40D1"/>
    <w:rsid w:val="004A47FF"/>
    <w:rsid w:val="004B4292"/>
    <w:rsid w:val="004D0635"/>
    <w:rsid w:val="004E2263"/>
    <w:rsid w:val="004F0665"/>
    <w:rsid w:val="004F3B67"/>
    <w:rsid w:val="0050211F"/>
    <w:rsid w:val="00512CEF"/>
    <w:rsid w:val="00516D56"/>
    <w:rsid w:val="00527B52"/>
    <w:rsid w:val="005350D6"/>
    <w:rsid w:val="00540FCA"/>
    <w:rsid w:val="00550E3D"/>
    <w:rsid w:val="00552EB6"/>
    <w:rsid w:val="0055391B"/>
    <w:rsid w:val="00554FA0"/>
    <w:rsid w:val="00560678"/>
    <w:rsid w:val="0058368B"/>
    <w:rsid w:val="00583BCB"/>
    <w:rsid w:val="0059174A"/>
    <w:rsid w:val="00593646"/>
    <w:rsid w:val="00597A47"/>
    <w:rsid w:val="00597BF4"/>
    <w:rsid w:val="005B0CAC"/>
    <w:rsid w:val="005B0D54"/>
    <w:rsid w:val="005B51FB"/>
    <w:rsid w:val="005C2D2A"/>
    <w:rsid w:val="005C715F"/>
    <w:rsid w:val="005D3E78"/>
    <w:rsid w:val="005D65DE"/>
    <w:rsid w:val="005E5A5A"/>
    <w:rsid w:val="00601DC3"/>
    <w:rsid w:val="006116C3"/>
    <w:rsid w:val="006168E6"/>
    <w:rsid w:val="00625496"/>
    <w:rsid w:val="0062691E"/>
    <w:rsid w:val="00627745"/>
    <w:rsid w:val="00640355"/>
    <w:rsid w:val="00641BEF"/>
    <w:rsid w:val="00641EF3"/>
    <w:rsid w:val="006469D9"/>
    <w:rsid w:val="00654AC7"/>
    <w:rsid w:val="0066108D"/>
    <w:rsid w:val="00671F27"/>
    <w:rsid w:val="00681AA4"/>
    <w:rsid w:val="00682C7E"/>
    <w:rsid w:val="006901BE"/>
    <w:rsid w:val="0069408F"/>
    <w:rsid w:val="00694117"/>
    <w:rsid w:val="006A02AB"/>
    <w:rsid w:val="006A0815"/>
    <w:rsid w:val="006A6148"/>
    <w:rsid w:val="006B307C"/>
    <w:rsid w:val="006C11F2"/>
    <w:rsid w:val="006D05F6"/>
    <w:rsid w:val="006D7187"/>
    <w:rsid w:val="006F2B69"/>
    <w:rsid w:val="006F532F"/>
    <w:rsid w:val="0070013D"/>
    <w:rsid w:val="007039DC"/>
    <w:rsid w:val="0072128D"/>
    <w:rsid w:val="00731BDE"/>
    <w:rsid w:val="007341ED"/>
    <w:rsid w:val="00735D9D"/>
    <w:rsid w:val="00736A3E"/>
    <w:rsid w:val="007404A6"/>
    <w:rsid w:val="00751C4D"/>
    <w:rsid w:val="007522F7"/>
    <w:rsid w:val="007546AA"/>
    <w:rsid w:val="00757F84"/>
    <w:rsid w:val="00763EBE"/>
    <w:rsid w:val="00770E65"/>
    <w:rsid w:val="00774539"/>
    <w:rsid w:val="007825B4"/>
    <w:rsid w:val="00783D31"/>
    <w:rsid w:val="007853E3"/>
    <w:rsid w:val="007A16EB"/>
    <w:rsid w:val="007A5245"/>
    <w:rsid w:val="007A7368"/>
    <w:rsid w:val="007C497F"/>
    <w:rsid w:val="007C4D0E"/>
    <w:rsid w:val="007D41B7"/>
    <w:rsid w:val="007D51B4"/>
    <w:rsid w:val="007E38C7"/>
    <w:rsid w:val="007E4A3C"/>
    <w:rsid w:val="007E4B72"/>
    <w:rsid w:val="007F56CA"/>
    <w:rsid w:val="00801963"/>
    <w:rsid w:val="00807482"/>
    <w:rsid w:val="00807620"/>
    <w:rsid w:val="0081403A"/>
    <w:rsid w:val="00822CA6"/>
    <w:rsid w:val="008346D2"/>
    <w:rsid w:val="0085375B"/>
    <w:rsid w:val="00856C99"/>
    <w:rsid w:val="0086314E"/>
    <w:rsid w:val="00864063"/>
    <w:rsid w:val="0086482C"/>
    <w:rsid w:val="00866ED6"/>
    <w:rsid w:val="00874BDC"/>
    <w:rsid w:val="0089190F"/>
    <w:rsid w:val="008A2642"/>
    <w:rsid w:val="008A738A"/>
    <w:rsid w:val="008B3544"/>
    <w:rsid w:val="008B4E25"/>
    <w:rsid w:val="008B5C63"/>
    <w:rsid w:val="008C080C"/>
    <w:rsid w:val="008C2189"/>
    <w:rsid w:val="008C532F"/>
    <w:rsid w:val="008C5B5D"/>
    <w:rsid w:val="008D3BD9"/>
    <w:rsid w:val="008D7D68"/>
    <w:rsid w:val="008E0006"/>
    <w:rsid w:val="008E650E"/>
    <w:rsid w:val="008F5BB6"/>
    <w:rsid w:val="008F65FD"/>
    <w:rsid w:val="00913FF1"/>
    <w:rsid w:val="00923B2F"/>
    <w:rsid w:val="00924991"/>
    <w:rsid w:val="00926C5D"/>
    <w:rsid w:val="0093038E"/>
    <w:rsid w:val="00930B79"/>
    <w:rsid w:val="0093432E"/>
    <w:rsid w:val="00942AF7"/>
    <w:rsid w:val="00953113"/>
    <w:rsid w:val="00954F1D"/>
    <w:rsid w:val="00955BBF"/>
    <w:rsid w:val="00956D01"/>
    <w:rsid w:val="009622E7"/>
    <w:rsid w:val="0097042E"/>
    <w:rsid w:val="00971479"/>
    <w:rsid w:val="0099159E"/>
    <w:rsid w:val="009A15F9"/>
    <w:rsid w:val="009A2944"/>
    <w:rsid w:val="009A2A50"/>
    <w:rsid w:val="009A70B1"/>
    <w:rsid w:val="009B30D8"/>
    <w:rsid w:val="009B7248"/>
    <w:rsid w:val="009C0519"/>
    <w:rsid w:val="009C3A6A"/>
    <w:rsid w:val="009D0A7D"/>
    <w:rsid w:val="009D3630"/>
    <w:rsid w:val="009E1E01"/>
    <w:rsid w:val="009F01AB"/>
    <w:rsid w:val="00A179D7"/>
    <w:rsid w:val="00A17F94"/>
    <w:rsid w:val="00A26DFB"/>
    <w:rsid w:val="00A443AA"/>
    <w:rsid w:val="00A444C1"/>
    <w:rsid w:val="00A46B4C"/>
    <w:rsid w:val="00A5713C"/>
    <w:rsid w:val="00A653DD"/>
    <w:rsid w:val="00A66084"/>
    <w:rsid w:val="00A71BA5"/>
    <w:rsid w:val="00A74934"/>
    <w:rsid w:val="00A75E7E"/>
    <w:rsid w:val="00A820CB"/>
    <w:rsid w:val="00A86B95"/>
    <w:rsid w:val="00A87854"/>
    <w:rsid w:val="00A96D17"/>
    <w:rsid w:val="00AB2434"/>
    <w:rsid w:val="00AB2DC4"/>
    <w:rsid w:val="00AB74FB"/>
    <w:rsid w:val="00AB7BC7"/>
    <w:rsid w:val="00AC4550"/>
    <w:rsid w:val="00AC552F"/>
    <w:rsid w:val="00AD17DF"/>
    <w:rsid w:val="00AD3B0D"/>
    <w:rsid w:val="00AD623D"/>
    <w:rsid w:val="00AE0273"/>
    <w:rsid w:val="00AE037F"/>
    <w:rsid w:val="00AE6880"/>
    <w:rsid w:val="00AF7DE4"/>
    <w:rsid w:val="00B00169"/>
    <w:rsid w:val="00B02212"/>
    <w:rsid w:val="00B025D5"/>
    <w:rsid w:val="00B04C8D"/>
    <w:rsid w:val="00B1375F"/>
    <w:rsid w:val="00B20B07"/>
    <w:rsid w:val="00B22C28"/>
    <w:rsid w:val="00B2784B"/>
    <w:rsid w:val="00B30E4C"/>
    <w:rsid w:val="00B3259E"/>
    <w:rsid w:val="00B436D3"/>
    <w:rsid w:val="00B4466F"/>
    <w:rsid w:val="00B45046"/>
    <w:rsid w:val="00B55D58"/>
    <w:rsid w:val="00B641D7"/>
    <w:rsid w:val="00B676ED"/>
    <w:rsid w:val="00B90AE0"/>
    <w:rsid w:val="00B91D0C"/>
    <w:rsid w:val="00B93B21"/>
    <w:rsid w:val="00B95EA4"/>
    <w:rsid w:val="00BA4168"/>
    <w:rsid w:val="00BA4F47"/>
    <w:rsid w:val="00BA53BB"/>
    <w:rsid w:val="00BA685E"/>
    <w:rsid w:val="00BB284F"/>
    <w:rsid w:val="00BB743A"/>
    <w:rsid w:val="00BC0600"/>
    <w:rsid w:val="00BC0EBB"/>
    <w:rsid w:val="00BC200A"/>
    <w:rsid w:val="00BC3830"/>
    <w:rsid w:val="00BC3EAF"/>
    <w:rsid w:val="00BD35EA"/>
    <w:rsid w:val="00BE42F8"/>
    <w:rsid w:val="00BF29FB"/>
    <w:rsid w:val="00C108EE"/>
    <w:rsid w:val="00C12988"/>
    <w:rsid w:val="00C155B6"/>
    <w:rsid w:val="00C2589E"/>
    <w:rsid w:val="00C309EA"/>
    <w:rsid w:val="00C53C2E"/>
    <w:rsid w:val="00C60A11"/>
    <w:rsid w:val="00C66D30"/>
    <w:rsid w:val="00C757B7"/>
    <w:rsid w:val="00C832AD"/>
    <w:rsid w:val="00C976EB"/>
    <w:rsid w:val="00CA74FE"/>
    <w:rsid w:val="00CB4138"/>
    <w:rsid w:val="00CB4814"/>
    <w:rsid w:val="00CB5D42"/>
    <w:rsid w:val="00CC1A00"/>
    <w:rsid w:val="00CC1ABC"/>
    <w:rsid w:val="00CC7825"/>
    <w:rsid w:val="00CC7FCC"/>
    <w:rsid w:val="00CD25D4"/>
    <w:rsid w:val="00CD3CBF"/>
    <w:rsid w:val="00CF0FEA"/>
    <w:rsid w:val="00CF1655"/>
    <w:rsid w:val="00CF1CA0"/>
    <w:rsid w:val="00CF55FC"/>
    <w:rsid w:val="00D041FB"/>
    <w:rsid w:val="00D05769"/>
    <w:rsid w:val="00D05F13"/>
    <w:rsid w:val="00D06AD8"/>
    <w:rsid w:val="00D07524"/>
    <w:rsid w:val="00D148A7"/>
    <w:rsid w:val="00D24269"/>
    <w:rsid w:val="00D348B4"/>
    <w:rsid w:val="00D3664D"/>
    <w:rsid w:val="00D402F0"/>
    <w:rsid w:val="00D41BE0"/>
    <w:rsid w:val="00D46F80"/>
    <w:rsid w:val="00D50282"/>
    <w:rsid w:val="00D52741"/>
    <w:rsid w:val="00D57254"/>
    <w:rsid w:val="00D57353"/>
    <w:rsid w:val="00D823B3"/>
    <w:rsid w:val="00D82DED"/>
    <w:rsid w:val="00D855EE"/>
    <w:rsid w:val="00D873BA"/>
    <w:rsid w:val="00DA1A78"/>
    <w:rsid w:val="00DA2EF6"/>
    <w:rsid w:val="00DA3078"/>
    <w:rsid w:val="00DA6476"/>
    <w:rsid w:val="00DB5621"/>
    <w:rsid w:val="00DB56F5"/>
    <w:rsid w:val="00DB7B1E"/>
    <w:rsid w:val="00DD222C"/>
    <w:rsid w:val="00DE1E6E"/>
    <w:rsid w:val="00DF2E78"/>
    <w:rsid w:val="00DF496A"/>
    <w:rsid w:val="00E00E0D"/>
    <w:rsid w:val="00E053AD"/>
    <w:rsid w:val="00E1157D"/>
    <w:rsid w:val="00E14017"/>
    <w:rsid w:val="00E20592"/>
    <w:rsid w:val="00E25911"/>
    <w:rsid w:val="00E439A0"/>
    <w:rsid w:val="00E47BB0"/>
    <w:rsid w:val="00E52518"/>
    <w:rsid w:val="00E56C77"/>
    <w:rsid w:val="00E666A4"/>
    <w:rsid w:val="00E7019D"/>
    <w:rsid w:val="00E71ACA"/>
    <w:rsid w:val="00E775A0"/>
    <w:rsid w:val="00E77DB9"/>
    <w:rsid w:val="00E91E08"/>
    <w:rsid w:val="00E91E22"/>
    <w:rsid w:val="00E95F47"/>
    <w:rsid w:val="00E963D2"/>
    <w:rsid w:val="00EA29B0"/>
    <w:rsid w:val="00EA658C"/>
    <w:rsid w:val="00EB1488"/>
    <w:rsid w:val="00EB45F7"/>
    <w:rsid w:val="00EB7865"/>
    <w:rsid w:val="00EC225C"/>
    <w:rsid w:val="00EC760C"/>
    <w:rsid w:val="00ED0FE1"/>
    <w:rsid w:val="00ED1202"/>
    <w:rsid w:val="00ED34E7"/>
    <w:rsid w:val="00EE49BF"/>
    <w:rsid w:val="00EF2F38"/>
    <w:rsid w:val="00F02BAA"/>
    <w:rsid w:val="00F11DCA"/>
    <w:rsid w:val="00F129B6"/>
    <w:rsid w:val="00F1464C"/>
    <w:rsid w:val="00F24FAF"/>
    <w:rsid w:val="00F2515B"/>
    <w:rsid w:val="00F40715"/>
    <w:rsid w:val="00F45817"/>
    <w:rsid w:val="00F45D5D"/>
    <w:rsid w:val="00F508EB"/>
    <w:rsid w:val="00F64949"/>
    <w:rsid w:val="00F666E4"/>
    <w:rsid w:val="00F76B42"/>
    <w:rsid w:val="00F8054F"/>
    <w:rsid w:val="00F84E48"/>
    <w:rsid w:val="00FA75C8"/>
    <w:rsid w:val="00FC197D"/>
    <w:rsid w:val="00FD62BA"/>
    <w:rsid w:val="00FD637D"/>
    <w:rsid w:val="00FE5889"/>
    <w:rsid w:val="00FF05BC"/>
    <w:rsid w:val="00FF5788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customStyle="1" w:styleId="p1">
    <w:name w:val="p1"/>
    <w:basedOn w:val="Normal"/>
    <w:rsid w:val="0018731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425E6"/>
    <w:rPr>
      <w:b/>
      <w:bCs/>
    </w:rPr>
  </w:style>
  <w:style w:type="character" w:styleId="Emphasis">
    <w:name w:val="Emphasis"/>
    <w:basedOn w:val="DefaultParagraphFont"/>
    <w:uiPriority w:val="20"/>
    <w:qFormat/>
    <w:rsid w:val="001425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5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3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7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giniarealtors.org/research/reports/other-reports/economic-and-housing-forecasts-an-outlook-for-real-estate-in-a-post-pandemic-economy/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spensieri@virginiarealtors.org" TargetMode="External"/><Relationship Id="rId12" Type="http://schemas.openxmlformats.org/officeDocument/2006/relationships/hyperlink" Target="https://twitter.com/REALTORS_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REALTORSVirginia/" TargetMode="External"/><Relationship Id="rId5" Type="http://schemas.openxmlformats.org/officeDocument/2006/relationships/hyperlink" Target="https://virginiarealtors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irginiarealto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rginiarealtors.org/research/reports/other-reports/economic-and-housing-forecasts-an-outlook-for-real-estate-in-a-post-pandemic-econom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186</cp:revision>
  <dcterms:created xsi:type="dcterms:W3CDTF">2020-07-21T11:42:00Z</dcterms:created>
  <dcterms:modified xsi:type="dcterms:W3CDTF">2021-09-24T12:35:00Z</dcterms:modified>
</cp:coreProperties>
</file>