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A52007" w14:paraId="475B6931" w14:textId="77777777" w:rsidTr="00A52007">
        <w:tblPrEx>
          <w:tblCellMar>
            <w:top w:w="0" w:type="dxa"/>
            <w:bottom w:w="0" w:type="dxa"/>
          </w:tblCellMar>
        </w:tblPrEx>
        <w:trPr>
          <w:trHeight w:val="4000"/>
        </w:trPr>
        <w:tc>
          <w:tcPr>
            <w:tcW w:w="1368" w:type="dxa"/>
          </w:tcPr>
          <w:p w14:paraId="3D207E7A" w14:textId="77777777" w:rsidR="00A52007" w:rsidRDefault="00A52007">
            <w:r>
              <w:t>Slide 1</w:t>
            </w:r>
          </w:p>
        </w:tc>
        <w:tc>
          <w:tcPr>
            <w:tcW w:w="3996" w:type="dxa"/>
          </w:tcPr>
          <w:p w14:paraId="22A0E8C3" w14:textId="14E8EE59" w:rsidR="00A52007" w:rsidRDefault="00A52007">
            <w:r>
              <w:object w:dxaOrig="9605" w:dyaOrig="5393" w14:anchorId="6947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91826199" r:id="rId5"/>
              </w:object>
            </w:r>
          </w:p>
        </w:tc>
        <w:tc>
          <w:tcPr>
            <w:tcW w:w="3996" w:type="dxa"/>
          </w:tcPr>
          <w:p w14:paraId="4606BA5D" w14:textId="77777777" w:rsidR="00A52007" w:rsidRDefault="00A52007" w:rsidP="00A52007">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 xml:space="preserve">Information in this presentation is a summary of RESPA. Your brokerage firm may have more specific policies regarding RESPA, which you may insert into this presentation. </w:t>
            </w:r>
          </w:p>
          <w:p w14:paraId="0B285D0D" w14:textId="77777777" w:rsidR="00A52007" w:rsidRDefault="00A52007" w:rsidP="00A52007">
            <w:pPr>
              <w:autoSpaceDE w:val="0"/>
              <w:autoSpaceDN w:val="0"/>
              <w:adjustRightInd w:val="0"/>
              <w:spacing w:after="0" w:line="240" w:lineRule="auto"/>
              <w:rPr>
                <w:rFonts w:ascii="Arial" w:hAnsi="Arial" w:cs="Arial"/>
                <w:sz w:val="24"/>
                <w:szCs w:val="24"/>
              </w:rPr>
            </w:pPr>
          </w:p>
          <w:p w14:paraId="120E3D89" w14:textId="77777777" w:rsidR="00A52007" w:rsidRDefault="00A52007"/>
        </w:tc>
      </w:tr>
      <w:tr w:rsidR="00A52007" w14:paraId="6C1E057C" w14:textId="77777777" w:rsidTr="00A52007">
        <w:tblPrEx>
          <w:tblCellMar>
            <w:top w:w="0" w:type="dxa"/>
            <w:bottom w:w="0" w:type="dxa"/>
          </w:tblCellMar>
        </w:tblPrEx>
        <w:trPr>
          <w:trHeight w:val="4000"/>
        </w:trPr>
        <w:tc>
          <w:tcPr>
            <w:tcW w:w="1368" w:type="dxa"/>
          </w:tcPr>
          <w:p w14:paraId="18DF4E07" w14:textId="5CEBE7F3" w:rsidR="00A52007" w:rsidRDefault="00A52007">
            <w:r>
              <w:t>Slide 2</w:t>
            </w:r>
          </w:p>
        </w:tc>
        <w:tc>
          <w:tcPr>
            <w:tcW w:w="3996" w:type="dxa"/>
          </w:tcPr>
          <w:p w14:paraId="49C1121F" w14:textId="2C6559DD" w:rsidR="00A52007" w:rsidRDefault="00A52007">
            <w:r>
              <w:object w:dxaOrig="9605" w:dyaOrig="5393" w14:anchorId="2764A2FC">
                <v:shape id="_x0000_i1031"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691826200" r:id="rId7"/>
              </w:object>
            </w:r>
          </w:p>
        </w:tc>
        <w:tc>
          <w:tcPr>
            <w:tcW w:w="3996" w:type="dxa"/>
          </w:tcPr>
          <w:p w14:paraId="0C1BEC62" w14:textId="77777777" w:rsidR="00A52007" w:rsidRDefault="00A52007" w:rsidP="00A52007">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RESPA was signed into law in the 1970s. </w:t>
            </w:r>
            <w:proofErr w:type="spellStart"/>
            <w:proofErr w:type="gramStart"/>
            <w:r>
              <w:rPr>
                <w:rFonts w:ascii="Calibri" w:hAnsi="Calibri" w:cs="Calibri"/>
                <w:kern w:val="24"/>
                <w:sz w:val="24"/>
                <w:szCs w:val="24"/>
              </w:rPr>
              <w:t>It’s</w:t>
            </w:r>
            <w:proofErr w:type="spellEnd"/>
            <w:proofErr w:type="gramEnd"/>
            <w:r>
              <w:rPr>
                <w:rFonts w:ascii="Calibri" w:hAnsi="Calibri" w:cs="Calibri"/>
                <w:kern w:val="24"/>
                <w:sz w:val="24"/>
                <w:szCs w:val="24"/>
              </w:rPr>
              <w:t xml:space="preserve"> purpose is to protect consumers by ensuring they are provided with information about the real estate settlement process, and keeping them from being overcharged for settlement by outlawing certain abusive practices, including kickbacks and charging unearned fees.</w:t>
            </w:r>
          </w:p>
          <w:p w14:paraId="26482C7E" w14:textId="77777777" w:rsidR="00A52007" w:rsidRDefault="00A52007" w:rsidP="00A52007">
            <w:pPr>
              <w:autoSpaceDE w:val="0"/>
              <w:autoSpaceDN w:val="0"/>
              <w:adjustRightInd w:val="0"/>
              <w:spacing w:after="0" w:line="240" w:lineRule="auto"/>
              <w:rPr>
                <w:rFonts w:ascii="Arial" w:hAnsi="Arial" w:cs="Arial"/>
                <w:sz w:val="24"/>
                <w:szCs w:val="24"/>
              </w:rPr>
            </w:pPr>
          </w:p>
          <w:p w14:paraId="0EE11637" w14:textId="77777777" w:rsidR="00A52007" w:rsidRDefault="00A52007"/>
        </w:tc>
      </w:tr>
      <w:tr w:rsidR="00A52007" w14:paraId="70EA05C2" w14:textId="77777777" w:rsidTr="00A52007">
        <w:tblPrEx>
          <w:tblCellMar>
            <w:top w:w="0" w:type="dxa"/>
            <w:bottom w:w="0" w:type="dxa"/>
          </w:tblCellMar>
        </w:tblPrEx>
        <w:trPr>
          <w:trHeight w:val="4000"/>
        </w:trPr>
        <w:tc>
          <w:tcPr>
            <w:tcW w:w="1368" w:type="dxa"/>
          </w:tcPr>
          <w:p w14:paraId="0943BF82" w14:textId="7FC24F11" w:rsidR="00A52007" w:rsidRDefault="00A52007">
            <w:r>
              <w:t>Slide 3</w:t>
            </w:r>
          </w:p>
        </w:tc>
        <w:tc>
          <w:tcPr>
            <w:tcW w:w="3996" w:type="dxa"/>
          </w:tcPr>
          <w:p w14:paraId="07168D36" w14:textId="714179E2" w:rsidR="00A52007" w:rsidRDefault="00A52007">
            <w:r>
              <w:object w:dxaOrig="9605" w:dyaOrig="5393" w14:anchorId="33EA0D10">
                <v:shape id="_x0000_i1037"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691826201" r:id="rId9"/>
              </w:object>
            </w:r>
          </w:p>
        </w:tc>
        <w:tc>
          <w:tcPr>
            <w:tcW w:w="3996" w:type="dxa"/>
          </w:tcPr>
          <w:p w14:paraId="72A3A17E"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Almost everyone involved in a real estate transaction is subject to RESPA, including agents and brokers. Settlement Services is defined in the law as [Read Definition].</w:t>
            </w:r>
          </w:p>
          <w:p w14:paraId="0A774DBF" w14:textId="77777777" w:rsidR="00A52007" w:rsidRDefault="00A52007" w:rsidP="00A52007">
            <w:pPr>
              <w:autoSpaceDE w:val="0"/>
              <w:autoSpaceDN w:val="0"/>
              <w:adjustRightInd w:val="0"/>
              <w:spacing w:after="0" w:line="240" w:lineRule="auto"/>
              <w:rPr>
                <w:rFonts w:ascii="Arial" w:hAnsi="Arial" w:cs="Arial"/>
                <w:sz w:val="24"/>
                <w:szCs w:val="24"/>
              </w:rPr>
            </w:pPr>
          </w:p>
          <w:p w14:paraId="0733FFD3" w14:textId="77777777" w:rsidR="00A52007" w:rsidRDefault="00A52007"/>
        </w:tc>
      </w:tr>
      <w:tr w:rsidR="00A52007" w14:paraId="41A979A3" w14:textId="77777777" w:rsidTr="00A52007">
        <w:tblPrEx>
          <w:tblCellMar>
            <w:top w:w="0" w:type="dxa"/>
            <w:bottom w:w="0" w:type="dxa"/>
          </w:tblCellMar>
        </w:tblPrEx>
        <w:trPr>
          <w:trHeight w:val="4000"/>
        </w:trPr>
        <w:tc>
          <w:tcPr>
            <w:tcW w:w="1368" w:type="dxa"/>
          </w:tcPr>
          <w:p w14:paraId="5DE09CDD" w14:textId="1A3475BE" w:rsidR="00A52007" w:rsidRDefault="00A52007">
            <w:r>
              <w:lastRenderedPageBreak/>
              <w:t>Slide 4</w:t>
            </w:r>
          </w:p>
        </w:tc>
        <w:tc>
          <w:tcPr>
            <w:tcW w:w="3996" w:type="dxa"/>
          </w:tcPr>
          <w:p w14:paraId="0CEEBA4E" w14:textId="11C5524E" w:rsidR="00A52007" w:rsidRDefault="00A52007">
            <w:r>
              <w:object w:dxaOrig="9605" w:dyaOrig="5393" w14:anchorId="4259F4A3">
                <v:shape id="_x0000_i1043"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691826202" r:id="rId11"/>
              </w:object>
            </w:r>
          </w:p>
        </w:tc>
        <w:tc>
          <w:tcPr>
            <w:tcW w:w="3996" w:type="dxa"/>
          </w:tcPr>
          <w:p w14:paraId="3F202C26"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So how does this affect you? It depends on how you do business, but at the very least you must be aware of how to engage with other settlement service providers, what kind of referrals you may engage in, and what kind of disclosures you may need to make if you have an interest in an affiliated business.</w:t>
            </w:r>
          </w:p>
          <w:p w14:paraId="504A8997" w14:textId="77777777" w:rsidR="00A52007" w:rsidRDefault="00A52007" w:rsidP="00A52007">
            <w:pPr>
              <w:autoSpaceDE w:val="0"/>
              <w:autoSpaceDN w:val="0"/>
              <w:adjustRightInd w:val="0"/>
              <w:spacing w:after="0" w:line="240" w:lineRule="auto"/>
              <w:rPr>
                <w:rFonts w:ascii="Arial" w:hAnsi="Arial" w:cs="Arial"/>
                <w:sz w:val="24"/>
                <w:szCs w:val="24"/>
              </w:rPr>
            </w:pPr>
          </w:p>
          <w:p w14:paraId="3D6E0B04" w14:textId="77777777" w:rsidR="00A52007" w:rsidRDefault="00A52007"/>
        </w:tc>
      </w:tr>
      <w:tr w:rsidR="00A52007" w14:paraId="4B1E9113" w14:textId="77777777" w:rsidTr="00A52007">
        <w:tblPrEx>
          <w:tblCellMar>
            <w:top w:w="0" w:type="dxa"/>
            <w:bottom w:w="0" w:type="dxa"/>
          </w:tblCellMar>
        </w:tblPrEx>
        <w:trPr>
          <w:trHeight w:val="4000"/>
        </w:trPr>
        <w:tc>
          <w:tcPr>
            <w:tcW w:w="1368" w:type="dxa"/>
          </w:tcPr>
          <w:p w14:paraId="7BD8747E" w14:textId="318BFD15" w:rsidR="00A52007" w:rsidRDefault="00A52007">
            <w:r>
              <w:t>Slide 5</w:t>
            </w:r>
          </w:p>
        </w:tc>
        <w:tc>
          <w:tcPr>
            <w:tcW w:w="3996" w:type="dxa"/>
          </w:tcPr>
          <w:p w14:paraId="39FA03CE" w14:textId="10EF8E99" w:rsidR="00A52007" w:rsidRDefault="00A52007">
            <w:r>
              <w:object w:dxaOrig="9605" w:dyaOrig="5393" w14:anchorId="100D1CB9">
                <v:shape id="_x0000_i1049"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691826203" r:id="rId13"/>
              </w:object>
            </w:r>
          </w:p>
        </w:tc>
        <w:tc>
          <w:tcPr>
            <w:tcW w:w="3996" w:type="dxa"/>
          </w:tcPr>
          <w:p w14:paraId="5FE2D626"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Let’s first talk about the most likely </w:t>
            </w:r>
            <w:proofErr w:type="spellStart"/>
            <w:r>
              <w:rPr>
                <w:rFonts w:ascii="Calibri" w:hAnsi="Calibri" w:cs="Calibri"/>
                <w:kern w:val="24"/>
                <w:sz w:val="24"/>
                <w:szCs w:val="24"/>
              </w:rPr>
              <w:t>affect</w:t>
            </w:r>
            <w:proofErr w:type="spellEnd"/>
            <w:r>
              <w:rPr>
                <w:rFonts w:ascii="Calibri" w:hAnsi="Calibri" w:cs="Calibri"/>
                <w:kern w:val="24"/>
                <w:sz w:val="24"/>
                <w:szCs w:val="24"/>
              </w:rPr>
              <w:t xml:space="preserve"> on your business, which is that of referrals. RESPA prohibits real estate settlement service providers (which, remember, includes licensees) from receiving money for referring business. This means, generally, you cannot give your clients or former clients money or anything of value in exchange for their referring your business to others. </w:t>
            </w:r>
          </w:p>
          <w:p w14:paraId="1C3E5F13" w14:textId="77777777" w:rsidR="00A52007" w:rsidRDefault="00A52007" w:rsidP="00A52007">
            <w:pPr>
              <w:autoSpaceDE w:val="0"/>
              <w:autoSpaceDN w:val="0"/>
              <w:adjustRightInd w:val="0"/>
              <w:spacing w:after="0" w:line="240" w:lineRule="auto"/>
              <w:rPr>
                <w:rFonts w:ascii="Calibri" w:hAnsi="Calibri" w:cs="Calibri"/>
                <w:kern w:val="24"/>
                <w:sz w:val="24"/>
                <w:szCs w:val="24"/>
              </w:rPr>
            </w:pPr>
          </w:p>
          <w:p w14:paraId="1FD22BA1"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a few important exceptions. For property management and “finders fees” to tenants, this is OK because RESPA only applies to transactions involving settlement and federally related mortgages. Additionally, you may give and receive referral fees with other real estate licensees, pursuant to cooperative referral agreements or arrangements. And you may refer a client to an affiliated business in which you have an interest, provide the proper disclosures are made.</w:t>
            </w:r>
          </w:p>
          <w:p w14:paraId="5CE07D27" w14:textId="77777777" w:rsidR="00A52007" w:rsidRDefault="00A52007" w:rsidP="00A52007">
            <w:pPr>
              <w:autoSpaceDE w:val="0"/>
              <w:autoSpaceDN w:val="0"/>
              <w:adjustRightInd w:val="0"/>
              <w:spacing w:after="0" w:line="240" w:lineRule="auto"/>
              <w:rPr>
                <w:rFonts w:ascii="Arial" w:hAnsi="Arial" w:cs="Arial"/>
                <w:sz w:val="24"/>
                <w:szCs w:val="24"/>
              </w:rPr>
            </w:pPr>
          </w:p>
          <w:p w14:paraId="4770BD64" w14:textId="77777777" w:rsidR="00A52007" w:rsidRDefault="00A52007"/>
        </w:tc>
      </w:tr>
      <w:tr w:rsidR="00A52007" w14:paraId="0198B59C" w14:textId="77777777" w:rsidTr="00A52007">
        <w:tblPrEx>
          <w:tblCellMar>
            <w:top w:w="0" w:type="dxa"/>
            <w:bottom w:w="0" w:type="dxa"/>
          </w:tblCellMar>
        </w:tblPrEx>
        <w:trPr>
          <w:trHeight w:val="4000"/>
        </w:trPr>
        <w:tc>
          <w:tcPr>
            <w:tcW w:w="1368" w:type="dxa"/>
          </w:tcPr>
          <w:p w14:paraId="1031C43B" w14:textId="4AFA96E0" w:rsidR="00A52007" w:rsidRDefault="00A52007">
            <w:r>
              <w:lastRenderedPageBreak/>
              <w:t>Slide 6</w:t>
            </w:r>
          </w:p>
        </w:tc>
        <w:tc>
          <w:tcPr>
            <w:tcW w:w="3996" w:type="dxa"/>
          </w:tcPr>
          <w:p w14:paraId="6041CD72" w14:textId="7EE43115" w:rsidR="00A52007" w:rsidRDefault="00A52007">
            <w:r>
              <w:object w:dxaOrig="9605" w:dyaOrig="5393" w14:anchorId="69ACC88A">
                <v:shape id="_x0000_i1055"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691826204" r:id="rId15"/>
              </w:object>
            </w:r>
          </w:p>
        </w:tc>
        <w:tc>
          <w:tcPr>
            <w:tcW w:w="3996" w:type="dxa"/>
          </w:tcPr>
          <w:p w14:paraId="355E7B2D" w14:textId="6A846B4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Let’s cover some common questions with rules on referrals. A thing of value does not have to be cash. It can be a trip, a home warranty, a gift card, etc. And there is no minimum amount – a $5 gift card is still a thing of value. A closing gift is not the same as a referral </w:t>
            </w:r>
            <w:proofErr w:type="gramStart"/>
            <w:r>
              <w:rPr>
                <w:rFonts w:ascii="Calibri" w:hAnsi="Calibri" w:cs="Calibri"/>
                <w:kern w:val="24"/>
                <w:sz w:val="24"/>
                <w:szCs w:val="24"/>
              </w:rPr>
              <w:t>fee, and</w:t>
            </w:r>
            <w:proofErr w:type="gramEnd"/>
            <w:r>
              <w:rPr>
                <w:rFonts w:ascii="Calibri" w:hAnsi="Calibri" w:cs="Calibri"/>
                <w:kern w:val="24"/>
                <w:sz w:val="24"/>
                <w:szCs w:val="24"/>
              </w:rPr>
              <w:t xml:space="preserve"> is acceptable so long as it is not tied to a referral of future business. Follow any applicable IRS restrictions when determining the amount or value of the gift. Likewise, a rebate of your commission for a particular transaction (not for future business) is not the same thing as a referral fee and is permitted, with lender approval.</w:t>
            </w:r>
            <w:r w:rsidR="00C40FF8" w:rsidRPr="00C40FF8">
              <w:rPr>
                <w:rFonts w:eastAsiaTheme="minorEastAsia" w:hAnsi="Calibri"/>
                <w:color w:val="000000" w:themeColor="text1"/>
                <w:kern w:val="24"/>
              </w:rPr>
              <w:t xml:space="preserve"> </w:t>
            </w:r>
            <w:r w:rsidR="00C40FF8" w:rsidRPr="00C40FF8">
              <w:rPr>
                <w:rFonts w:ascii="Calibri" w:hAnsi="Calibri" w:cs="Calibri"/>
                <w:kern w:val="24"/>
                <w:sz w:val="24"/>
                <w:szCs w:val="24"/>
              </w:rPr>
              <w:t>Let’s go through some common examples of ways to provide appreciation to your clients. [</w:t>
            </w:r>
            <w:r w:rsidR="00C40FF8" w:rsidRPr="00C40FF8">
              <w:rPr>
                <w:rFonts w:ascii="Calibri" w:hAnsi="Calibri" w:cs="Calibri"/>
                <w:i/>
                <w:iCs/>
                <w:kern w:val="24"/>
                <w:sz w:val="24"/>
                <w:szCs w:val="24"/>
              </w:rPr>
              <w:t>Click for examples of things that are OK (YES) and not OK (NO</w:t>
            </w:r>
            <w:r w:rsidR="00C40FF8" w:rsidRPr="00C40FF8">
              <w:rPr>
                <w:rFonts w:ascii="Calibri" w:hAnsi="Calibri" w:cs="Calibri"/>
                <w:kern w:val="24"/>
                <w:sz w:val="24"/>
                <w:szCs w:val="24"/>
              </w:rPr>
              <w:t>)]</w:t>
            </w:r>
          </w:p>
          <w:p w14:paraId="04A83AD4" w14:textId="77777777" w:rsidR="00A52007" w:rsidRDefault="00A52007" w:rsidP="00A52007">
            <w:pPr>
              <w:autoSpaceDE w:val="0"/>
              <w:autoSpaceDN w:val="0"/>
              <w:adjustRightInd w:val="0"/>
              <w:spacing w:after="0" w:line="240" w:lineRule="auto"/>
              <w:rPr>
                <w:rFonts w:ascii="Arial" w:hAnsi="Arial" w:cs="Arial"/>
                <w:sz w:val="24"/>
                <w:szCs w:val="24"/>
              </w:rPr>
            </w:pPr>
          </w:p>
          <w:p w14:paraId="5773693A" w14:textId="77777777" w:rsidR="00A52007" w:rsidRDefault="00A52007"/>
        </w:tc>
      </w:tr>
      <w:tr w:rsidR="00A52007" w14:paraId="26A7B249" w14:textId="77777777" w:rsidTr="00A52007">
        <w:tblPrEx>
          <w:tblCellMar>
            <w:top w:w="0" w:type="dxa"/>
            <w:bottom w:w="0" w:type="dxa"/>
          </w:tblCellMar>
        </w:tblPrEx>
        <w:trPr>
          <w:trHeight w:val="4000"/>
        </w:trPr>
        <w:tc>
          <w:tcPr>
            <w:tcW w:w="1368" w:type="dxa"/>
          </w:tcPr>
          <w:p w14:paraId="49A5F589" w14:textId="171ED94C" w:rsidR="00A52007" w:rsidRDefault="00A52007">
            <w:r>
              <w:t>Slide 7</w:t>
            </w:r>
          </w:p>
        </w:tc>
        <w:tc>
          <w:tcPr>
            <w:tcW w:w="3996" w:type="dxa"/>
          </w:tcPr>
          <w:p w14:paraId="7EC952F2" w14:textId="28899448" w:rsidR="00A52007" w:rsidRDefault="00A52007">
            <w:r>
              <w:object w:dxaOrig="9605" w:dyaOrig="5393" w14:anchorId="00D2F86B">
                <v:shape id="_x0000_i1061"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1" DrawAspect="Content" ObjectID="_1691826205" r:id="rId17"/>
              </w:object>
            </w:r>
          </w:p>
        </w:tc>
        <w:tc>
          <w:tcPr>
            <w:tcW w:w="3996" w:type="dxa"/>
          </w:tcPr>
          <w:p w14:paraId="3DCE893D"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Here is the part of RESPA that prohibits referrals in exchange for things of value (Section A) and the exception for referrals between licensed real estate agents and brokers (Section C, 3) and affiliated business arrangements with property disclosures (Section C, 4).  </w:t>
            </w:r>
          </w:p>
          <w:p w14:paraId="3773AEC5" w14:textId="77777777" w:rsidR="00A52007" w:rsidRDefault="00A52007" w:rsidP="00A52007">
            <w:pPr>
              <w:autoSpaceDE w:val="0"/>
              <w:autoSpaceDN w:val="0"/>
              <w:adjustRightInd w:val="0"/>
              <w:spacing w:after="0" w:line="240" w:lineRule="auto"/>
              <w:rPr>
                <w:rFonts w:ascii="Calibri" w:hAnsi="Calibri" w:cs="Calibri"/>
                <w:b/>
                <w:bCs/>
                <w:kern w:val="24"/>
                <w:sz w:val="24"/>
                <w:szCs w:val="24"/>
              </w:rPr>
            </w:pPr>
          </w:p>
          <w:p w14:paraId="6C048B96"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12 U.S. Code § 2607</w:t>
            </w:r>
          </w:p>
          <w:p w14:paraId="056BF966" w14:textId="77777777" w:rsidR="00A52007" w:rsidRDefault="00A52007" w:rsidP="00A52007">
            <w:pPr>
              <w:autoSpaceDE w:val="0"/>
              <w:autoSpaceDN w:val="0"/>
              <w:adjustRightInd w:val="0"/>
              <w:spacing w:after="0" w:line="240" w:lineRule="auto"/>
              <w:rPr>
                <w:rFonts w:ascii="Calibri" w:hAnsi="Calibri" w:cs="Calibri"/>
                <w:kern w:val="24"/>
                <w:sz w:val="24"/>
                <w:szCs w:val="24"/>
              </w:rPr>
            </w:pPr>
          </w:p>
          <w:p w14:paraId="1A4B73EE" w14:textId="77777777" w:rsidR="00A52007" w:rsidRDefault="00A52007" w:rsidP="00A52007">
            <w:pPr>
              <w:autoSpaceDE w:val="0"/>
              <w:autoSpaceDN w:val="0"/>
              <w:adjustRightInd w:val="0"/>
              <w:spacing w:after="0" w:line="240" w:lineRule="auto"/>
              <w:rPr>
                <w:rFonts w:ascii="Arial" w:hAnsi="Arial" w:cs="Arial"/>
                <w:sz w:val="24"/>
                <w:szCs w:val="24"/>
              </w:rPr>
            </w:pPr>
          </w:p>
          <w:p w14:paraId="0C800760" w14:textId="77777777" w:rsidR="00A52007" w:rsidRDefault="00A52007"/>
        </w:tc>
      </w:tr>
      <w:tr w:rsidR="00A52007" w14:paraId="2A6C90D8" w14:textId="77777777" w:rsidTr="00A52007">
        <w:tblPrEx>
          <w:tblCellMar>
            <w:top w:w="0" w:type="dxa"/>
            <w:bottom w:w="0" w:type="dxa"/>
          </w:tblCellMar>
        </w:tblPrEx>
        <w:trPr>
          <w:trHeight w:val="4000"/>
        </w:trPr>
        <w:tc>
          <w:tcPr>
            <w:tcW w:w="1368" w:type="dxa"/>
          </w:tcPr>
          <w:p w14:paraId="0B87F5BE" w14:textId="1949C2C4" w:rsidR="00A52007" w:rsidRDefault="00A52007">
            <w:r>
              <w:lastRenderedPageBreak/>
              <w:t>Slide 8</w:t>
            </w:r>
          </w:p>
        </w:tc>
        <w:tc>
          <w:tcPr>
            <w:tcW w:w="3996" w:type="dxa"/>
          </w:tcPr>
          <w:p w14:paraId="79EB2E8C" w14:textId="2C7107DD" w:rsidR="00A52007" w:rsidRDefault="00A52007">
            <w:r>
              <w:object w:dxaOrig="9605" w:dyaOrig="5393" w14:anchorId="39A2C92D">
                <v:shape id="_x0000_i1067" type="#_x0000_t75" style="width:192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7" DrawAspect="Content" ObjectID="_1691826206" r:id="rId19"/>
              </w:object>
            </w:r>
          </w:p>
        </w:tc>
        <w:tc>
          <w:tcPr>
            <w:tcW w:w="3996" w:type="dxa"/>
          </w:tcPr>
          <w:p w14:paraId="67DFE134"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It is not unusual for people in the real estate industry to have an interest in businesses outside of their everyday work but related to real estate. RESPA requires that if you are involved in an affiliated real estate service business and you are </w:t>
            </w:r>
            <w:proofErr w:type="gramStart"/>
            <w:r>
              <w:rPr>
                <w:rFonts w:ascii="Calibri" w:hAnsi="Calibri" w:cs="Calibri"/>
                <w:kern w:val="24"/>
                <w:sz w:val="24"/>
                <w:szCs w:val="24"/>
              </w:rPr>
              <w:t>in a position</w:t>
            </w:r>
            <w:proofErr w:type="gramEnd"/>
            <w:r>
              <w:rPr>
                <w:rFonts w:ascii="Calibri" w:hAnsi="Calibri" w:cs="Calibri"/>
                <w:kern w:val="24"/>
                <w:sz w:val="24"/>
                <w:szCs w:val="24"/>
              </w:rPr>
              <w:t xml:space="preserve"> to refer a client to that business, you must disclose that arrangement. Here is how Affiliated Business Arrangement is defined in the law. Note that it includes direct ownership interests AND beneficial ownership interests. This means if your spouse or partner has an ownership interest in such a company, you likely must follow the disclosure requirements.</w:t>
            </w:r>
          </w:p>
          <w:p w14:paraId="12CF7A9C" w14:textId="77777777" w:rsidR="00A52007" w:rsidRDefault="00A52007" w:rsidP="00A52007">
            <w:pPr>
              <w:autoSpaceDE w:val="0"/>
              <w:autoSpaceDN w:val="0"/>
              <w:adjustRightInd w:val="0"/>
              <w:spacing w:after="0" w:line="240" w:lineRule="auto"/>
              <w:rPr>
                <w:rFonts w:ascii="Calibri" w:hAnsi="Calibri" w:cs="Calibri"/>
                <w:kern w:val="24"/>
                <w:sz w:val="24"/>
                <w:szCs w:val="24"/>
              </w:rPr>
            </w:pPr>
          </w:p>
          <w:p w14:paraId="3C9F69AB" w14:textId="77777777" w:rsidR="00A52007" w:rsidRDefault="00A52007" w:rsidP="00A52007">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There are other requirements for affiliated businesses to ensure that the business is not a sham one set up to avoid RESPA violations. Virginia REALTORS has a podcast devoted just to Affiliated Business Arrangements, which you can find at our website https://virginiarealtors.org/law-ethics/legal-resource-library/ and filter the topic to RESPA (link provided on slide). </w:t>
            </w:r>
          </w:p>
          <w:p w14:paraId="4AA5AB66" w14:textId="77777777" w:rsidR="00A52007" w:rsidRDefault="00A52007" w:rsidP="00A52007">
            <w:pPr>
              <w:autoSpaceDE w:val="0"/>
              <w:autoSpaceDN w:val="0"/>
              <w:adjustRightInd w:val="0"/>
              <w:spacing w:after="0" w:line="240" w:lineRule="auto"/>
              <w:rPr>
                <w:rFonts w:ascii="Arial" w:hAnsi="Arial" w:cs="Arial"/>
                <w:sz w:val="24"/>
                <w:szCs w:val="24"/>
              </w:rPr>
            </w:pPr>
          </w:p>
          <w:p w14:paraId="4E65975C" w14:textId="77777777" w:rsidR="00A52007" w:rsidRDefault="00A52007"/>
        </w:tc>
      </w:tr>
      <w:tr w:rsidR="00A52007" w14:paraId="5DF02514" w14:textId="77777777" w:rsidTr="00A52007">
        <w:tblPrEx>
          <w:tblCellMar>
            <w:top w:w="0" w:type="dxa"/>
            <w:bottom w:w="0" w:type="dxa"/>
          </w:tblCellMar>
        </w:tblPrEx>
        <w:trPr>
          <w:trHeight w:val="4000"/>
        </w:trPr>
        <w:tc>
          <w:tcPr>
            <w:tcW w:w="1368" w:type="dxa"/>
          </w:tcPr>
          <w:p w14:paraId="6364BEBF" w14:textId="425A13EF" w:rsidR="00A52007" w:rsidRDefault="00A52007">
            <w:r>
              <w:lastRenderedPageBreak/>
              <w:t>Slide 9</w:t>
            </w:r>
          </w:p>
        </w:tc>
        <w:tc>
          <w:tcPr>
            <w:tcW w:w="3996" w:type="dxa"/>
          </w:tcPr>
          <w:p w14:paraId="2AF696C1" w14:textId="55D96A9D" w:rsidR="00A52007" w:rsidRDefault="00A52007">
            <w:r>
              <w:object w:dxaOrig="9605" w:dyaOrig="5393" w14:anchorId="57C7A086">
                <v:shape id="_x0000_i1073" type="#_x0000_t75" style="width:192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73" DrawAspect="Content" ObjectID="_1691826207" r:id="rId21"/>
              </w:object>
            </w:r>
          </w:p>
        </w:tc>
        <w:tc>
          <w:tcPr>
            <w:tcW w:w="3996" w:type="dxa"/>
          </w:tcPr>
          <w:p w14:paraId="4807518D"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The Disclosure Form is </w:t>
            </w:r>
            <w:proofErr w:type="gramStart"/>
            <w:r>
              <w:rPr>
                <w:rFonts w:ascii="Calibri" w:hAnsi="Calibri" w:cs="Calibri"/>
                <w:kern w:val="24"/>
                <w:sz w:val="24"/>
                <w:szCs w:val="24"/>
              </w:rPr>
              <w:t>fairly short</w:t>
            </w:r>
            <w:proofErr w:type="gramEnd"/>
            <w:r>
              <w:rPr>
                <w:rFonts w:ascii="Calibri" w:hAnsi="Calibri" w:cs="Calibri"/>
                <w:kern w:val="24"/>
                <w:sz w:val="24"/>
                <w:szCs w:val="24"/>
              </w:rPr>
              <w:t xml:space="preserve"> and straightforward. It lays out the relationship between the person making the referral and the entity they are referring. It also informs the consumer that they are not required to use that provider and are free to shop around. Finally, it lays out the estimated charge for the service. </w:t>
            </w:r>
          </w:p>
          <w:p w14:paraId="5BD0759F" w14:textId="77777777" w:rsidR="00A52007" w:rsidRDefault="00A52007" w:rsidP="00A52007">
            <w:pPr>
              <w:autoSpaceDE w:val="0"/>
              <w:autoSpaceDN w:val="0"/>
              <w:adjustRightInd w:val="0"/>
              <w:spacing w:after="0" w:line="240" w:lineRule="auto"/>
              <w:rPr>
                <w:rFonts w:ascii="Arial" w:hAnsi="Arial" w:cs="Arial"/>
                <w:sz w:val="24"/>
                <w:szCs w:val="24"/>
              </w:rPr>
            </w:pPr>
          </w:p>
          <w:p w14:paraId="51023D22" w14:textId="77777777" w:rsidR="00A52007" w:rsidRDefault="00A52007"/>
        </w:tc>
      </w:tr>
      <w:tr w:rsidR="00A52007" w14:paraId="127F8D3D" w14:textId="77777777" w:rsidTr="00A52007">
        <w:tblPrEx>
          <w:tblCellMar>
            <w:top w:w="0" w:type="dxa"/>
            <w:bottom w:w="0" w:type="dxa"/>
          </w:tblCellMar>
        </w:tblPrEx>
        <w:trPr>
          <w:trHeight w:val="4000"/>
        </w:trPr>
        <w:tc>
          <w:tcPr>
            <w:tcW w:w="1368" w:type="dxa"/>
          </w:tcPr>
          <w:p w14:paraId="6A7EF221" w14:textId="3E396F43" w:rsidR="00A52007" w:rsidRDefault="00A52007">
            <w:r>
              <w:t>Slide 10</w:t>
            </w:r>
          </w:p>
        </w:tc>
        <w:tc>
          <w:tcPr>
            <w:tcW w:w="3996" w:type="dxa"/>
          </w:tcPr>
          <w:p w14:paraId="231BD779" w14:textId="3E718A1B" w:rsidR="00A52007" w:rsidRDefault="00A52007">
            <w:r>
              <w:object w:dxaOrig="9605" w:dyaOrig="5393" w14:anchorId="01FCDB17">
                <v:shape id="_x0000_i1079" type="#_x0000_t75" style="width:192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9" DrawAspect="Content" ObjectID="_1691826208" r:id="rId23"/>
              </w:object>
            </w:r>
          </w:p>
        </w:tc>
        <w:tc>
          <w:tcPr>
            <w:tcW w:w="3996" w:type="dxa"/>
          </w:tcPr>
          <w:p w14:paraId="47C5173B"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Co-marketing agreements are usually between two or more settlement service providers (such as a real estate broker and a lender, or a lender an insurance company) who decide to co-market their business through joint advertisements. These arrangements are possible, so long as you follow the rules and don’t use them </w:t>
            </w:r>
            <w:proofErr w:type="gramStart"/>
            <w:r>
              <w:rPr>
                <w:rFonts w:ascii="Calibri" w:hAnsi="Calibri" w:cs="Calibri"/>
                <w:kern w:val="24"/>
                <w:sz w:val="24"/>
                <w:szCs w:val="24"/>
              </w:rPr>
              <w:t>as a way to</w:t>
            </w:r>
            <w:proofErr w:type="gramEnd"/>
            <w:r>
              <w:rPr>
                <w:rFonts w:ascii="Calibri" w:hAnsi="Calibri" w:cs="Calibri"/>
                <w:kern w:val="24"/>
                <w:sz w:val="24"/>
                <w:szCs w:val="24"/>
              </w:rPr>
              <w:t xml:space="preserve"> get around RESPA. Ensure that costs paid are reasonable for the return and one party isn’t paying more for equal marketing </w:t>
            </w:r>
            <w:proofErr w:type="gramStart"/>
            <w:r>
              <w:rPr>
                <w:rFonts w:ascii="Calibri" w:hAnsi="Calibri" w:cs="Calibri"/>
                <w:kern w:val="24"/>
                <w:sz w:val="24"/>
                <w:szCs w:val="24"/>
              </w:rPr>
              <w:t>power, or</w:t>
            </w:r>
            <w:proofErr w:type="gramEnd"/>
            <w:r>
              <w:rPr>
                <w:rFonts w:ascii="Calibri" w:hAnsi="Calibri" w:cs="Calibri"/>
                <w:kern w:val="24"/>
                <w:sz w:val="24"/>
                <w:szCs w:val="24"/>
              </w:rPr>
              <w:t xml:space="preserve"> paying equal amount for less marketing power. </w:t>
            </w:r>
          </w:p>
          <w:p w14:paraId="6F190D52" w14:textId="77777777" w:rsidR="00A52007" w:rsidRDefault="00A52007" w:rsidP="00A52007">
            <w:pPr>
              <w:autoSpaceDE w:val="0"/>
              <w:autoSpaceDN w:val="0"/>
              <w:adjustRightInd w:val="0"/>
              <w:spacing w:after="0" w:line="240" w:lineRule="auto"/>
              <w:rPr>
                <w:rFonts w:ascii="Arial" w:hAnsi="Arial" w:cs="Arial"/>
                <w:sz w:val="24"/>
                <w:szCs w:val="24"/>
              </w:rPr>
            </w:pPr>
          </w:p>
          <w:p w14:paraId="7E25FD9E" w14:textId="77777777" w:rsidR="00A52007" w:rsidRDefault="00A52007"/>
        </w:tc>
      </w:tr>
      <w:tr w:rsidR="00A52007" w14:paraId="2E3E8795" w14:textId="77777777" w:rsidTr="00A52007">
        <w:tblPrEx>
          <w:tblCellMar>
            <w:top w:w="0" w:type="dxa"/>
            <w:bottom w:w="0" w:type="dxa"/>
          </w:tblCellMar>
        </w:tblPrEx>
        <w:trPr>
          <w:trHeight w:val="4000"/>
        </w:trPr>
        <w:tc>
          <w:tcPr>
            <w:tcW w:w="1368" w:type="dxa"/>
          </w:tcPr>
          <w:p w14:paraId="3C375D7B" w14:textId="40CA2C62" w:rsidR="00A52007" w:rsidRDefault="00A52007">
            <w:r>
              <w:lastRenderedPageBreak/>
              <w:t>Slide 11</w:t>
            </w:r>
          </w:p>
        </w:tc>
        <w:tc>
          <w:tcPr>
            <w:tcW w:w="3996" w:type="dxa"/>
          </w:tcPr>
          <w:p w14:paraId="330A0A55" w14:textId="3CC142D4" w:rsidR="00A52007" w:rsidRDefault="00A52007">
            <w:r>
              <w:object w:dxaOrig="9605" w:dyaOrig="5393" w14:anchorId="65AAC3E7">
                <v:shape id="_x0000_i1085" type="#_x0000_t75" style="width:192pt;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85" DrawAspect="Content" ObjectID="_1691826209" r:id="rId25"/>
              </w:object>
            </w:r>
          </w:p>
        </w:tc>
        <w:tc>
          <w:tcPr>
            <w:tcW w:w="3996" w:type="dxa"/>
          </w:tcPr>
          <w:p w14:paraId="6665837F"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Penalties for being found to have violated RESPA can be severe, including imprisonment.</w:t>
            </w:r>
          </w:p>
          <w:p w14:paraId="5F7298F8" w14:textId="77777777" w:rsidR="00A52007" w:rsidRDefault="00A52007" w:rsidP="00A52007">
            <w:pPr>
              <w:autoSpaceDE w:val="0"/>
              <w:autoSpaceDN w:val="0"/>
              <w:adjustRightInd w:val="0"/>
              <w:spacing w:after="0" w:line="240" w:lineRule="auto"/>
              <w:rPr>
                <w:rFonts w:ascii="Calibri" w:hAnsi="Calibri" w:cs="Calibri"/>
                <w:kern w:val="24"/>
                <w:sz w:val="24"/>
                <w:szCs w:val="24"/>
              </w:rPr>
            </w:pPr>
          </w:p>
          <w:p w14:paraId="4A634945"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12 U.S. Code § 2607(d)</w:t>
            </w:r>
          </w:p>
          <w:p w14:paraId="5DFEBA79" w14:textId="77777777" w:rsidR="00A52007" w:rsidRDefault="00A52007" w:rsidP="00A5200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14:paraId="1044AF11" w14:textId="77777777" w:rsidR="00A52007" w:rsidRDefault="00A52007" w:rsidP="00A52007">
            <w:pPr>
              <w:autoSpaceDE w:val="0"/>
              <w:autoSpaceDN w:val="0"/>
              <w:adjustRightInd w:val="0"/>
              <w:spacing w:after="0" w:line="240" w:lineRule="auto"/>
              <w:rPr>
                <w:rFonts w:ascii="Arial" w:hAnsi="Arial" w:cs="Arial"/>
                <w:sz w:val="24"/>
                <w:szCs w:val="24"/>
              </w:rPr>
            </w:pPr>
          </w:p>
          <w:p w14:paraId="233B1FC5" w14:textId="77777777" w:rsidR="00A52007" w:rsidRDefault="00A52007"/>
        </w:tc>
      </w:tr>
      <w:tr w:rsidR="00A52007" w14:paraId="25A34C76" w14:textId="77777777" w:rsidTr="00A52007">
        <w:tblPrEx>
          <w:tblCellMar>
            <w:top w:w="0" w:type="dxa"/>
            <w:bottom w:w="0" w:type="dxa"/>
          </w:tblCellMar>
        </w:tblPrEx>
        <w:trPr>
          <w:trHeight w:val="4000"/>
        </w:trPr>
        <w:tc>
          <w:tcPr>
            <w:tcW w:w="1368" w:type="dxa"/>
          </w:tcPr>
          <w:p w14:paraId="00434504" w14:textId="082119BD" w:rsidR="00A52007" w:rsidRDefault="00A52007">
            <w:r>
              <w:t>Slide 12</w:t>
            </w:r>
          </w:p>
        </w:tc>
        <w:tc>
          <w:tcPr>
            <w:tcW w:w="3996" w:type="dxa"/>
          </w:tcPr>
          <w:p w14:paraId="2FBB6280" w14:textId="2E2BCA6E" w:rsidR="00A52007" w:rsidRDefault="00A52007">
            <w:r>
              <w:object w:dxaOrig="9605" w:dyaOrig="5393" w14:anchorId="427E217F">
                <v:shape id="_x0000_i1091" type="#_x0000_t75" style="width:192pt;height:108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91" DrawAspect="Content" ObjectID="_1691826210" r:id="rId27"/>
              </w:object>
            </w:r>
          </w:p>
        </w:tc>
        <w:tc>
          <w:tcPr>
            <w:tcW w:w="3996" w:type="dxa"/>
          </w:tcPr>
          <w:p w14:paraId="4B3E62DB" w14:textId="77777777" w:rsidR="00C40FF8" w:rsidRPr="00C40FF8" w:rsidRDefault="00C40FF8" w:rsidP="00C40FF8">
            <w:r w:rsidRPr="00C40FF8">
              <w:t>[</w:t>
            </w:r>
            <w:r w:rsidRPr="00C40FF8">
              <w:rPr>
                <w:i/>
                <w:iCs/>
              </w:rPr>
              <w:t>Read Question and Click for Answer</w:t>
            </w:r>
            <w:r w:rsidRPr="00C40FF8">
              <w:t>]</w:t>
            </w:r>
          </w:p>
          <w:p w14:paraId="42BE9D3F" w14:textId="77777777" w:rsidR="00A52007" w:rsidRDefault="00A52007"/>
        </w:tc>
      </w:tr>
      <w:tr w:rsidR="00A52007" w14:paraId="7C9B58CF" w14:textId="77777777" w:rsidTr="00A52007">
        <w:tblPrEx>
          <w:tblCellMar>
            <w:top w:w="0" w:type="dxa"/>
            <w:bottom w:w="0" w:type="dxa"/>
          </w:tblCellMar>
        </w:tblPrEx>
        <w:trPr>
          <w:trHeight w:val="4000"/>
        </w:trPr>
        <w:tc>
          <w:tcPr>
            <w:tcW w:w="1368" w:type="dxa"/>
          </w:tcPr>
          <w:p w14:paraId="1D7F1686" w14:textId="510FAE5B" w:rsidR="00A52007" w:rsidRDefault="00A52007">
            <w:r>
              <w:t>Slide 13</w:t>
            </w:r>
          </w:p>
        </w:tc>
        <w:tc>
          <w:tcPr>
            <w:tcW w:w="3996" w:type="dxa"/>
          </w:tcPr>
          <w:p w14:paraId="2F8FC9E7" w14:textId="5C3529AC" w:rsidR="00A52007" w:rsidRDefault="00A52007">
            <w:r>
              <w:object w:dxaOrig="9605" w:dyaOrig="5393" w14:anchorId="05EA1DAA">
                <v:shape id="_x0000_i1096" type="#_x0000_t75" style="width:192pt;height:108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96" DrawAspect="Content" ObjectID="_1691826211" r:id="rId29"/>
              </w:object>
            </w:r>
          </w:p>
        </w:tc>
        <w:tc>
          <w:tcPr>
            <w:tcW w:w="3996" w:type="dxa"/>
          </w:tcPr>
          <w:p w14:paraId="343EFF1E" w14:textId="77777777" w:rsidR="00C40FF8" w:rsidRPr="00C40FF8" w:rsidRDefault="00C40FF8" w:rsidP="00C40FF8">
            <w:r w:rsidRPr="00C40FF8">
              <w:t>[</w:t>
            </w:r>
            <w:r w:rsidRPr="00C40FF8">
              <w:rPr>
                <w:i/>
                <w:iCs/>
              </w:rPr>
              <w:t>Read Question and Click for Answer</w:t>
            </w:r>
            <w:r w:rsidRPr="00C40FF8">
              <w:t>]</w:t>
            </w:r>
          </w:p>
          <w:p w14:paraId="3A4177BD" w14:textId="77777777" w:rsidR="00A52007" w:rsidRDefault="00A52007"/>
        </w:tc>
      </w:tr>
      <w:tr w:rsidR="00A52007" w14:paraId="3AE10898" w14:textId="77777777" w:rsidTr="00A52007">
        <w:tblPrEx>
          <w:tblCellMar>
            <w:top w:w="0" w:type="dxa"/>
            <w:bottom w:w="0" w:type="dxa"/>
          </w:tblCellMar>
        </w:tblPrEx>
        <w:trPr>
          <w:trHeight w:val="4000"/>
        </w:trPr>
        <w:tc>
          <w:tcPr>
            <w:tcW w:w="1368" w:type="dxa"/>
          </w:tcPr>
          <w:p w14:paraId="16CB0EB5" w14:textId="78C7E9AC" w:rsidR="00A52007" w:rsidRDefault="00A52007">
            <w:r>
              <w:lastRenderedPageBreak/>
              <w:t>Slide 14</w:t>
            </w:r>
          </w:p>
        </w:tc>
        <w:tc>
          <w:tcPr>
            <w:tcW w:w="3996" w:type="dxa"/>
          </w:tcPr>
          <w:p w14:paraId="06FFE4DA" w14:textId="6C8C4CE1" w:rsidR="00A52007" w:rsidRDefault="00A52007">
            <w:r>
              <w:object w:dxaOrig="9605" w:dyaOrig="5393" w14:anchorId="1B74BEF8">
                <v:shape id="_x0000_i1101" type="#_x0000_t75" style="width:192pt;height:108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101" DrawAspect="Content" ObjectID="_1691826212" r:id="rId31"/>
              </w:object>
            </w:r>
          </w:p>
        </w:tc>
        <w:tc>
          <w:tcPr>
            <w:tcW w:w="3996" w:type="dxa"/>
          </w:tcPr>
          <w:p w14:paraId="78BDBBB1" w14:textId="77777777" w:rsidR="00C40FF8" w:rsidRPr="00C40FF8" w:rsidRDefault="00C40FF8" w:rsidP="00C40FF8">
            <w:r w:rsidRPr="00C40FF8">
              <w:t>[</w:t>
            </w:r>
            <w:r w:rsidRPr="00C40FF8">
              <w:rPr>
                <w:i/>
                <w:iCs/>
              </w:rPr>
              <w:t>Read Question and Click for Answer</w:t>
            </w:r>
            <w:r w:rsidRPr="00C40FF8">
              <w:t>]</w:t>
            </w:r>
          </w:p>
          <w:p w14:paraId="21FB25AC" w14:textId="77777777" w:rsidR="00A52007" w:rsidRDefault="00A52007"/>
        </w:tc>
      </w:tr>
      <w:tr w:rsidR="00A52007" w14:paraId="0425220B" w14:textId="77777777" w:rsidTr="00A52007">
        <w:tblPrEx>
          <w:tblCellMar>
            <w:top w:w="0" w:type="dxa"/>
            <w:bottom w:w="0" w:type="dxa"/>
          </w:tblCellMar>
        </w:tblPrEx>
        <w:trPr>
          <w:trHeight w:val="4000"/>
        </w:trPr>
        <w:tc>
          <w:tcPr>
            <w:tcW w:w="1368" w:type="dxa"/>
          </w:tcPr>
          <w:p w14:paraId="6654BAFA" w14:textId="6BBDABA2" w:rsidR="00A52007" w:rsidRDefault="00A52007">
            <w:r>
              <w:t>Slide 15</w:t>
            </w:r>
          </w:p>
        </w:tc>
        <w:tc>
          <w:tcPr>
            <w:tcW w:w="3996" w:type="dxa"/>
          </w:tcPr>
          <w:p w14:paraId="5B960965" w14:textId="7FE4F9D9" w:rsidR="00A52007" w:rsidRDefault="00A52007">
            <w:r>
              <w:object w:dxaOrig="9605" w:dyaOrig="5393" w14:anchorId="080040FC">
                <v:shape id="_x0000_i1106" type="#_x0000_t75" style="width:192pt;height:108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106" DrawAspect="Content" ObjectID="_1691826213" r:id="rId33"/>
              </w:object>
            </w:r>
          </w:p>
        </w:tc>
        <w:tc>
          <w:tcPr>
            <w:tcW w:w="3996" w:type="dxa"/>
          </w:tcPr>
          <w:p w14:paraId="25F35C35" w14:textId="77777777" w:rsidR="00A52007" w:rsidRDefault="00A52007"/>
        </w:tc>
      </w:tr>
    </w:tbl>
    <w:p w14:paraId="56C54727" w14:textId="77777777" w:rsidR="003B3459" w:rsidRDefault="003B3459"/>
    <w:sectPr w:rsidR="003B3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07"/>
    <w:rsid w:val="003B3459"/>
    <w:rsid w:val="00A52007"/>
    <w:rsid w:val="00C40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A445F"/>
  <w15:chartTrackingRefBased/>
  <w15:docId w15:val="{9FDE161E-75DA-47C0-B306-62CE0E72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01730">
      <w:bodyDiv w:val="1"/>
      <w:marLeft w:val="0"/>
      <w:marRight w:val="0"/>
      <w:marTop w:val="0"/>
      <w:marBottom w:val="0"/>
      <w:divBdr>
        <w:top w:val="none" w:sz="0" w:space="0" w:color="auto"/>
        <w:left w:val="none" w:sz="0" w:space="0" w:color="auto"/>
        <w:bottom w:val="none" w:sz="0" w:space="0" w:color="auto"/>
        <w:right w:val="none" w:sz="0" w:space="0" w:color="auto"/>
      </w:divBdr>
    </w:div>
    <w:div w:id="874192835">
      <w:bodyDiv w:val="1"/>
      <w:marLeft w:val="0"/>
      <w:marRight w:val="0"/>
      <w:marTop w:val="0"/>
      <w:marBottom w:val="0"/>
      <w:divBdr>
        <w:top w:val="none" w:sz="0" w:space="0" w:color="auto"/>
        <w:left w:val="none" w:sz="0" w:space="0" w:color="auto"/>
        <w:bottom w:val="none" w:sz="0" w:space="0" w:color="auto"/>
        <w:right w:val="none" w:sz="0" w:space="0" w:color="auto"/>
      </w:divBdr>
    </w:div>
    <w:div w:id="101026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21" Type="http://schemas.openxmlformats.org/officeDocument/2006/relationships/package" Target="embeddings/Microsoft_PowerPoint_Slide8.sldx"/><Relationship Id="rId34" Type="http://schemas.openxmlformats.org/officeDocument/2006/relationships/fontTable" Target="fontTable.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customXml" Target="../customXml/item2.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customXml" Target="../customXml/item1.xml"/><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image" Target="media/image3.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77765A-9401-4B73-8A4A-997A21FE781A}"/>
</file>

<file path=customXml/itemProps2.xml><?xml version="1.0" encoding="utf-8"?>
<ds:datastoreItem xmlns:ds="http://schemas.openxmlformats.org/officeDocument/2006/customXml" ds:itemID="{EEC34AD7-A707-4176-B67B-652EF351C268}"/>
</file>

<file path=customXml/itemProps3.xml><?xml version="1.0" encoding="utf-8"?>
<ds:datastoreItem xmlns:ds="http://schemas.openxmlformats.org/officeDocument/2006/customXml" ds:itemID="{E93489BA-0DD8-43E9-9BD9-B8E375544D13}"/>
</file>

<file path=docProps/app.xml><?xml version="1.0" encoding="utf-8"?>
<Properties xmlns="http://schemas.openxmlformats.org/officeDocument/2006/extended-properties" xmlns:vt="http://schemas.openxmlformats.org/officeDocument/2006/docPropsVTypes">
  <Template>Normal</Template>
  <TotalTime>12</TotalTime>
  <Pages>7</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Toone</dc:creator>
  <cp:keywords/>
  <dc:description/>
  <cp:lastModifiedBy>Jessica Toone</cp:lastModifiedBy>
  <cp:revision>1</cp:revision>
  <dcterms:created xsi:type="dcterms:W3CDTF">2021-08-30T14:44:00Z</dcterms:created>
  <dcterms:modified xsi:type="dcterms:W3CDTF">2021-08-30T14:56:00Z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